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jc w:val="center"/>
        <w:rPr/>
      </w:pPr>
      <w:r>
        <w:rPr/>
        <w:drawing>
          <wp:inline distT="0" distB="0" distL="0" distR="0">
            <wp:extent cx="790575" cy="857250"/>
            <wp:effectExtent l="0" t="0" r="0" b="0"/>
            <wp:docPr id="1" name="image1.jp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g" descr=""/>
                    <pic:cNvPicPr>
                      <a:picLocks noChangeAspect="1" noChangeArrowheads="1"/>
                    </pic:cNvPicPr>
                  </pic:nvPicPr>
                  <pic:blipFill>
                    <a:blip r:embed="rId2"/>
                    <a:stretch>
                      <a:fillRect/>
                    </a:stretch>
                  </pic:blipFill>
                  <pic:spPr bwMode="auto">
                    <a:xfrm>
                      <a:off x="0" y="0"/>
                      <a:ext cx="790575" cy="857250"/>
                    </a:xfrm>
                    <a:prstGeom prst="rect">
                      <a:avLst/>
                    </a:prstGeom>
                  </pic:spPr>
                </pic:pic>
              </a:graphicData>
            </a:graphic>
          </wp:inline>
        </w:drawing>
      </w:r>
    </w:p>
    <w:p>
      <w:pPr>
        <w:pStyle w:val="Normal"/>
        <w:spacing w:lineRule="auto" w:line="240"/>
        <w:jc w:val="center"/>
        <w:rPr>
          <w:rFonts w:ascii="Calibri" w:hAnsi="Calibri"/>
          <w:color w:val="1C1C1C"/>
          <w:sz w:val="24"/>
          <w:szCs w:val="24"/>
        </w:rPr>
      </w:pPr>
      <w:r>
        <w:rPr>
          <w:rFonts w:eastAsia="Calibri" w:cs="Calibri" w:ascii="Calibri" w:hAnsi="Calibri"/>
          <w:b/>
          <w:color w:val="1C1C1C"/>
          <w:sz w:val="24"/>
          <w:szCs w:val="24"/>
        </w:rPr>
        <w:t>MINISTÉRIO DA DEFESA</w:t>
      </w:r>
    </w:p>
    <w:p>
      <w:pPr>
        <w:pStyle w:val="Normal"/>
        <w:spacing w:lineRule="auto" w:line="240"/>
        <w:jc w:val="center"/>
        <w:rPr>
          <w:rFonts w:ascii="Calibri" w:hAnsi="Calibri"/>
          <w:color w:val="1C1C1C"/>
          <w:sz w:val="24"/>
          <w:szCs w:val="24"/>
        </w:rPr>
      </w:pPr>
      <w:r>
        <w:rPr>
          <w:rFonts w:eastAsia="Calibri" w:cs="Calibri" w:ascii="Calibri" w:hAnsi="Calibri"/>
          <w:b/>
          <w:color w:val="1C1C1C"/>
          <w:sz w:val="24"/>
          <w:szCs w:val="24"/>
        </w:rPr>
        <w:t>EXÉRCITO BRASILEIRO</w:t>
      </w:r>
    </w:p>
    <w:p>
      <w:pPr>
        <w:pStyle w:val="Normal"/>
        <w:jc w:val="center"/>
        <w:rPr>
          <w:rFonts w:ascii="Calibri" w:hAnsi="Calibri"/>
          <w:color w:val="1C1C1C"/>
          <w:sz w:val="24"/>
          <w:szCs w:val="24"/>
        </w:rPr>
      </w:pPr>
      <w:r>
        <w:rPr>
          <w:rFonts w:ascii="Calibri" w:hAnsi="Calibri"/>
          <w:b/>
          <w:color w:val="1C1C1C"/>
          <w:sz w:val="24"/>
          <w:szCs w:val="24"/>
        </w:rPr>
        <w:t>CENTRO DE PREPARAÇÃO DE OFICIAIS DA RESERVA DO RECIFE</w:t>
      </w:r>
    </w:p>
    <w:p>
      <w:pPr>
        <w:pStyle w:val="Normal"/>
        <w:tabs>
          <w:tab w:val="left" w:pos="1418" w:leader="none"/>
        </w:tabs>
        <w:snapToGrid w:val="false"/>
        <w:spacing w:lineRule="auto" w:line="240"/>
        <w:jc w:val="center"/>
        <w:rPr>
          <w:rFonts w:ascii="Calibri" w:hAnsi="Calibri"/>
          <w:color w:val="1C1C1C"/>
          <w:sz w:val="24"/>
          <w:szCs w:val="24"/>
        </w:rPr>
      </w:pPr>
      <w:r>
        <w:rPr>
          <w:rFonts w:eastAsia="Calibri" w:cs="Calibri" w:ascii="Calibri" w:hAnsi="Calibri"/>
          <w:b/>
          <w:bCs/>
          <w:color w:val="1C1C1C"/>
          <w:sz w:val="24"/>
          <w:szCs w:val="24"/>
          <w:lang w:val="en-US"/>
        </w:rPr>
        <w:t>(CPOR / 7ª RM / 1933)</w:t>
      </w:r>
    </w:p>
    <w:p>
      <w:pPr>
        <w:pStyle w:val="Normal"/>
        <w:spacing w:lineRule="auto" w:line="240"/>
        <w:jc w:val="center"/>
        <w:rPr>
          <w:rFonts w:ascii="Calibri" w:hAnsi="Calibri"/>
          <w:color w:val="1C1C1C"/>
          <w:sz w:val="24"/>
          <w:szCs w:val="24"/>
        </w:rPr>
      </w:pPr>
      <w:r>
        <w:rPr>
          <w:rFonts w:eastAsia="Calibri" w:cs="Calibri" w:ascii="Calibri" w:hAnsi="Calibri"/>
          <w:b/>
          <w:color w:val="1C1C1C"/>
          <w:sz w:val="24"/>
          <w:szCs w:val="24"/>
        </w:rPr>
        <w:t>*UASG 160191*</w:t>
      </w:r>
    </w:p>
    <w:p>
      <w:pPr>
        <w:pStyle w:val="Normal"/>
        <w:spacing w:lineRule="auto" w:line="240"/>
        <w:jc w:val="center"/>
        <w:rPr>
          <w:rFonts w:ascii="Calibri" w:hAnsi="Calibri"/>
          <w:color w:val="1C1C1C"/>
          <w:sz w:val="24"/>
          <w:szCs w:val="24"/>
        </w:rPr>
      </w:pPr>
      <w:r>
        <w:rPr>
          <w:rFonts w:eastAsia="Calibri" w:cs="Calibri" w:ascii="Calibri" w:hAnsi="Calibri"/>
          <w:color w:val="1C1C1C"/>
          <w:sz w:val="24"/>
          <w:szCs w:val="24"/>
        </w:rPr>
        <w:t>AVENIDA DEZESSETE DE AGOSTO Nº 1020 – BAIRRO CASA FORTE – RECIFE / PE</w:t>
      </w:r>
    </w:p>
    <w:p>
      <w:pPr>
        <w:pStyle w:val="Normal"/>
        <w:spacing w:lineRule="auto" w:line="240"/>
        <w:jc w:val="center"/>
        <w:rPr>
          <w:rFonts w:ascii="Calibri" w:hAnsi="Calibri"/>
          <w:b w:val="false"/>
          <w:b w:val="false"/>
          <w:bCs w:val="false"/>
          <w:color w:val="1C1C1C"/>
          <w:sz w:val="24"/>
          <w:szCs w:val="24"/>
        </w:rPr>
      </w:pPr>
      <w:r>
        <w:rPr>
          <w:rFonts w:eastAsia="Calibri" w:cs="Calibri" w:ascii="Calibri" w:hAnsi="Calibri"/>
          <w:b w:val="false"/>
          <w:bCs w:val="false"/>
          <w:i/>
          <w:iCs/>
          <w:color w:val="1C1C1C"/>
          <w:sz w:val="24"/>
          <w:szCs w:val="24"/>
        </w:rPr>
        <w:t>CEP: 52.060-335 - FONE (81) 3441-3970 – E-mail: cporr.salc@gmail.com</w:t>
      </w:r>
    </w:p>
    <w:p>
      <w:pPr>
        <w:pStyle w:val="Normal"/>
        <w:spacing w:lineRule="auto" w:line="276"/>
        <w:jc w:val="center"/>
        <w:rPr>
          <w:rFonts w:cs="Arial"/>
          <w:b/>
          <w:b/>
          <w:bCs/>
          <w:color w:themeColor="text1"/>
        </w:rPr>
      </w:pPr>
      <w:r>
        <w:rPr>
          <w:rFonts w:cs="Arial"/>
          <w:b/>
          <w:bCs/>
          <w:color w:themeColor="text1"/>
        </w:rPr>
      </w:r>
    </w:p>
    <w:p>
      <w:pPr>
        <w:pStyle w:val="Normal"/>
        <w:spacing w:lineRule="auto" w:line="276"/>
        <w:jc w:val="center"/>
        <w:rPr/>
      </w:pPr>
      <w:r>
        <w:rPr>
          <w:rFonts w:cs="Arial" w:ascii="Calibri" w:hAnsi="Calibri"/>
          <w:b/>
          <w:bCs/>
          <w:color w:val="1C1C1C"/>
          <w:sz w:val="24"/>
          <w:szCs w:val="24"/>
        </w:rPr>
        <w:t>AVISO DE DISPENSA ELETRÔNICA Nº 12/2023</w:t>
      </w:r>
    </w:p>
    <w:p>
      <w:pPr>
        <w:pStyle w:val="Normal"/>
        <w:spacing w:lineRule="auto" w:line="276" w:before="0" w:after="120"/>
        <w:ind w:right="-15" w:hanging="0"/>
        <w:jc w:val="center"/>
        <w:rPr/>
      </w:pPr>
      <w:r>
        <w:rPr>
          <w:rFonts w:cs="Arial" w:ascii="Calibri" w:hAnsi="Calibri"/>
          <w:b/>
          <w:bCs/>
          <w:color w:val="1C1C1C"/>
          <w:sz w:val="24"/>
          <w:szCs w:val="24"/>
        </w:rPr>
        <w:t>(Processo Administrativo n.°64215.001640/2023-07)</w:t>
      </w:r>
    </w:p>
    <w:p>
      <w:pPr>
        <w:pStyle w:val="Normal"/>
        <w:rPr>
          <w:rFonts w:cs="Arial"/>
        </w:rPr>
      </w:pPr>
      <w:r>
        <w:rPr>
          <w:rFonts w:cs="Arial"/>
        </w:rPr>
      </w:r>
    </w:p>
    <w:p>
      <w:pPr>
        <w:pStyle w:val="Normal"/>
        <w:snapToGrid w:val="false"/>
        <w:spacing w:lineRule="auto" w:line="276" w:before="0" w:after="120"/>
        <w:ind w:right="-30" w:firstLine="540"/>
        <w:jc w:val="both"/>
        <w:rPr>
          <w:rFonts w:ascii="Calibri" w:hAnsi="Calibri"/>
          <w:sz w:val="24"/>
          <w:szCs w:val="24"/>
        </w:rPr>
      </w:pPr>
      <w:r>
        <w:rPr>
          <w:rFonts w:cs="Arial" w:ascii="Calibri" w:hAnsi="Calibri"/>
          <w:color w:val="000000" w:themeColor="text1"/>
          <w:sz w:val="24"/>
          <w:szCs w:val="24"/>
        </w:rPr>
        <w:t xml:space="preserve">Torna-se público que o Centro de Preparação de Oficiais da Reserva do Recife - CPOR/R, por meio da </w:t>
      </w:r>
      <w:r>
        <w:rPr>
          <w:rFonts w:eastAsia="Arial" w:cs="Arial" w:ascii="Calibri" w:hAnsi="Calibri"/>
          <w:color w:val="000000" w:themeColor="text1"/>
          <w:sz w:val="24"/>
          <w:szCs w:val="24"/>
        </w:rPr>
        <w:t>Seção de Aquisições, Licitações e Contratos</w:t>
      </w:r>
      <w:r>
        <w:rPr>
          <w:rFonts w:cs="Arial" w:ascii="Calibri" w:hAnsi="Calibri"/>
          <w:color w:val="000000" w:themeColor="text1"/>
          <w:sz w:val="24"/>
          <w:szCs w:val="24"/>
        </w:rPr>
        <w:t xml:space="preserve">, realizará Dispensa Eletrônica, </w:t>
      </w:r>
      <w:r>
        <w:rPr>
          <w:rFonts w:cs="Arial" w:ascii="Calibri" w:hAnsi="Calibri"/>
          <w:bCs/>
          <w:color w:val="000000" w:themeColor="text1"/>
          <w:sz w:val="24"/>
          <w:szCs w:val="24"/>
        </w:rPr>
        <w:t>com critério de julgamento</w:t>
      </w:r>
      <w:r>
        <w:rPr>
          <w:rFonts w:cs="Arial" w:ascii="Calibri" w:hAnsi="Calibri"/>
          <w:b/>
          <w:bCs/>
          <w:color w:val="1C1C1C"/>
          <w:sz w:val="24"/>
          <w:szCs w:val="24"/>
        </w:rPr>
        <w:t xml:space="preserve"> </w:t>
      </w:r>
      <w:r>
        <w:rPr>
          <w:rFonts w:cs="Arial" w:ascii="Calibri" w:hAnsi="Calibri"/>
          <w:i/>
          <w:color w:val="1C1C1C"/>
          <w:sz w:val="24"/>
          <w:szCs w:val="24"/>
        </w:rPr>
        <w:t>menor preço</w:t>
      </w:r>
      <w:r>
        <w:rPr>
          <w:rFonts w:cs="Arial" w:ascii="Calibri" w:hAnsi="Calibri"/>
          <w:b/>
          <w:bCs/>
          <w:i/>
          <w:color w:val="1C1C1C"/>
          <w:sz w:val="24"/>
          <w:szCs w:val="24"/>
        </w:rPr>
        <w:t>,</w:t>
      </w:r>
      <w:r>
        <w:rPr>
          <w:rFonts w:cs="Arial" w:ascii="Calibri" w:hAnsi="Calibri"/>
          <w:b/>
          <w:bCs/>
          <w:i/>
          <w:color w:val="FF0000"/>
          <w:sz w:val="24"/>
          <w:szCs w:val="24"/>
        </w:rPr>
        <w:t xml:space="preserve"> </w:t>
      </w:r>
      <w:r>
        <w:rPr>
          <w:rFonts w:cs="Arial" w:ascii="Calibri" w:hAnsi="Calibri"/>
          <w:color w:val="000000" w:themeColor="text1"/>
          <w:sz w:val="24"/>
          <w:szCs w:val="24"/>
        </w:rPr>
        <w:t>na hipótese do art. 75</w:t>
      </w:r>
      <w:r>
        <w:rPr>
          <w:rFonts w:cs="Arial" w:ascii="Calibri" w:hAnsi="Calibri"/>
          <w:i/>
          <w:iCs/>
          <w:color w:val="000000" w:themeColor="text1"/>
          <w:sz w:val="24"/>
          <w:szCs w:val="24"/>
        </w:rPr>
        <w:t>,</w:t>
      </w:r>
      <w:r>
        <w:rPr>
          <w:rFonts w:cs="Arial" w:ascii="Calibri" w:hAnsi="Calibri"/>
          <w:i/>
          <w:iCs/>
          <w:color w:val="1C1C1C"/>
          <w:sz w:val="24"/>
          <w:szCs w:val="24"/>
        </w:rPr>
        <w:t xml:space="preserve"> </w:t>
      </w:r>
      <w:r>
        <w:rPr>
          <w:rFonts w:cs="Arial" w:ascii="Calibri" w:hAnsi="Calibri"/>
          <w:i/>
          <w:iCs/>
          <w:color w:val="1C1C1C"/>
          <w:sz w:val="24"/>
          <w:szCs w:val="24"/>
        </w:rPr>
        <w:t xml:space="preserve">inciso </w:t>
      </w:r>
      <w:r>
        <w:rPr>
          <w:rFonts w:cs="Arial" w:ascii="Calibri" w:hAnsi="Calibri"/>
          <w:b/>
          <w:i/>
          <w:iCs/>
          <w:color w:val="1C1C1C"/>
          <w:sz w:val="24"/>
          <w:szCs w:val="24"/>
        </w:rPr>
        <w:t>II</w:t>
      </w:r>
      <w:r>
        <w:rPr>
          <w:rFonts w:cs="Arial" w:ascii="Calibri" w:hAnsi="Calibri"/>
          <w:i/>
          <w:iCs/>
          <w:color w:val="1C1C1C"/>
          <w:sz w:val="24"/>
          <w:szCs w:val="24"/>
        </w:rPr>
        <w:t>,</w:t>
      </w:r>
      <w:r>
        <w:rPr>
          <w:rFonts w:cs="Arial" w:ascii="Calibri" w:hAnsi="Calibri"/>
          <w:color w:val="FF0000"/>
          <w:sz w:val="24"/>
          <w:szCs w:val="24"/>
        </w:rPr>
        <w:t xml:space="preserve"> </w:t>
      </w:r>
      <w:r>
        <w:rPr>
          <w:rFonts w:cs="Arial" w:ascii="Calibri" w:hAnsi="Calibri"/>
          <w:bCs/>
          <w:sz w:val="24"/>
          <w:szCs w:val="24"/>
        </w:rPr>
        <w:t>nos termos da Lei nº 14.133, de 1º de abril de 2021, da Instrução Normativa SEGES/ME nº 67/2021 e demais legislação aplicável</w:t>
      </w:r>
      <w:r>
        <w:rPr>
          <w:rFonts w:cs="Arial" w:ascii="Calibri" w:hAnsi="Calibri"/>
          <w:color w:val="000000"/>
          <w:sz w:val="24"/>
          <w:szCs w:val="24"/>
        </w:rPr>
        <w:t>.</w:t>
      </w:r>
    </w:p>
    <w:p>
      <w:pPr>
        <w:pStyle w:val="Normal"/>
        <w:spacing w:lineRule="auto" w:line="276"/>
        <w:jc w:val="both"/>
        <w:rPr>
          <w:rFonts w:cs="Arial"/>
          <w:color w:val="000000" w:themeColor="text1"/>
          <w:szCs w:val="20"/>
        </w:rPr>
      </w:pPr>
      <w:r>
        <w:rPr>
          <w:rFonts w:cs="Arial"/>
          <w:color w:val="000000" w:themeColor="text1"/>
          <w:szCs w:val="20"/>
        </w:rPr>
      </w:r>
    </w:p>
    <w:p>
      <w:pPr>
        <w:pStyle w:val="Normal"/>
        <w:spacing w:lineRule="auto" w:line="276"/>
        <w:jc w:val="both"/>
        <w:rPr/>
      </w:pPr>
      <w:r>
        <w:rPr>
          <w:rFonts w:cs="Arial" w:ascii="Calibri" w:hAnsi="Calibri"/>
          <w:color w:val="000000" w:themeColor="text1"/>
          <w:sz w:val="24"/>
          <w:szCs w:val="24"/>
        </w:rPr>
        <w:t>Data da sessão: 24 de abril de 2023</w:t>
      </w:r>
    </w:p>
    <w:p>
      <w:pPr>
        <w:pStyle w:val="Normal"/>
        <w:rPr>
          <w:rFonts w:cs="Arial"/>
          <w:color w:val="000000" w:themeColor="text1"/>
          <w:szCs w:val="20"/>
        </w:rPr>
      </w:pPr>
      <w:r>
        <w:rPr>
          <w:rFonts w:cs="Arial" w:ascii="Calibri" w:hAnsi="Calibri"/>
          <w:color w:val="000000" w:themeColor="text1"/>
          <w:sz w:val="24"/>
          <w:szCs w:val="24"/>
        </w:rPr>
        <w:t xml:space="preserve">Link: https://www.gov.br/compras/pt-br/ </w:t>
      </w:r>
    </w:p>
    <w:p>
      <w:pPr>
        <w:pStyle w:val="Normal"/>
        <w:rPr/>
      </w:pPr>
      <w:r>
        <w:rPr>
          <w:rFonts w:cs="Arial" w:ascii="Calibri" w:hAnsi="Calibri"/>
          <w:i w:val="false"/>
          <w:iCs w:val="false"/>
          <w:color w:val="000000" w:themeColor="text1"/>
          <w:sz w:val="24"/>
          <w:szCs w:val="24"/>
        </w:rPr>
        <w:t>Horário da Fase de Lances: 9:00 às 15:00</w:t>
      </w:r>
    </w:p>
    <w:p>
      <w:pPr>
        <w:pStyle w:val="PADRO"/>
        <w:keepNext/>
        <w:widowControl/>
        <w:shd w:val="clear" w:color="auto" w:fill="auto"/>
        <w:spacing w:before="120" w:after="120"/>
        <w:ind w:left="360" w:hanging="0"/>
        <w:rPr>
          <w:rFonts w:ascii="Calibri" w:hAnsi="Calibri" w:cs="Arial"/>
          <w:b/>
          <w:b/>
          <w:sz w:val="24"/>
          <w:szCs w:val="24"/>
        </w:rPr>
      </w:pPr>
      <w:r>
        <w:rPr>
          <w:rFonts w:cs="Arial" w:ascii="Calibri" w:hAnsi="Calibri"/>
          <w:b/>
          <w:sz w:val="24"/>
          <w:szCs w:val="24"/>
        </w:rPr>
      </w:r>
    </w:p>
    <w:p>
      <w:pPr>
        <w:pStyle w:val="PADRO"/>
        <w:keepNext/>
        <w:widowControl/>
        <w:numPr>
          <w:ilvl w:val="0"/>
          <w:numId w:val="1"/>
        </w:numPr>
        <w:shd w:val="clear" w:color="auto" w:fill="auto"/>
        <w:spacing w:before="120" w:after="120"/>
        <w:rPr>
          <w:rFonts w:ascii="Arial" w:hAnsi="Arial" w:cs="Arial"/>
          <w:b/>
          <w:b/>
        </w:rPr>
      </w:pPr>
      <w:bookmarkStart w:id="0" w:name="_GoBack"/>
      <w:bookmarkEnd w:id="0"/>
      <w:r>
        <w:rPr>
          <w:rFonts w:cs="Arial" w:ascii="Arial" w:hAnsi="Arial"/>
          <w:b/>
        </w:rPr>
        <w:t>OBJETO DA CONTRATAÇÃO DIRETA</w:t>
      </w:r>
    </w:p>
    <w:p>
      <w:pPr>
        <w:pStyle w:val="PADRO"/>
        <w:keepNext/>
        <w:widowControl/>
        <w:numPr>
          <w:ilvl w:val="1"/>
          <w:numId w:val="1"/>
        </w:numPr>
        <w:shd w:val="clear" w:color="auto" w:fill="auto"/>
        <w:spacing w:before="120" w:after="120"/>
        <w:rPr/>
      </w:pPr>
      <w:r>
        <w:rPr>
          <w:rFonts w:cs="Arial" w:ascii="Arial" w:hAnsi="Arial"/>
          <w:color w:val="000000" w:themeColor="text1"/>
          <w:szCs w:val="20"/>
        </w:rPr>
        <w:t xml:space="preserve">O objeto da presente dispensa é a escolha da proposta mais vantajosa para a </w:t>
      </w:r>
      <w:r>
        <w:rPr>
          <w:rFonts w:cs="Arial" w:ascii="Arial" w:hAnsi="Arial"/>
          <w:color w:val="1C1C1C"/>
          <w:szCs w:val="20"/>
        </w:rPr>
        <w:t>contratação</w:t>
      </w:r>
      <w:r>
        <w:rPr>
          <w:rFonts w:cs="Arial" w:ascii="Arial" w:hAnsi="Arial"/>
          <w:color w:val="1C1C1C"/>
          <w:szCs w:val="20"/>
        </w:rPr>
        <w:t xml:space="preserve"> </w:t>
      </w:r>
      <w:r>
        <w:rPr>
          <w:rFonts w:cs="Arial" w:ascii="Arial" w:hAnsi="Arial"/>
          <w:color w:val="000000" w:themeColor="text1"/>
          <w:szCs w:val="20"/>
        </w:rPr>
        <w:t>por dispensa de licitação de sanduicheira</w:t>
      </w:r>
      <w:r>
        <w:rPr>
          <w:rFonts w:cs="Arial" w:ascii="Arial" w:hAnsi="Arial"/>
          <w:b/>
          <w:bCs/>
          <w:color w:val="000000" w:themeColor="text1"/>
          <w:szCs w:val="20"/>
        </w:rPr>
        <w:t>,</w:t>
      </w:r>
      <w:r>
        <w:rPr>
          <w:rFonts w:cs="Arial" w:ascii="Arial" w:hAnsi="Arial"/>
          <w:color w:val="000000" w:themeColor="text1"/>
          <w:szCs w:val="20"/>
        </w:rPr>
        <w:t xml:space="preserve"> conforme condições, quantidades e exigências estabelecidas neste Aviso de Contratação Direta e seus anexos.</w:t>
      </w:r>
    </w:p>
    <w:p>
      <w:pPr>
        <w:pStyle w:val="PADRO"/>
        <w:keepNext/>
        <w:widowControl/>
        <w:numPr>
          <w:ilvl w:val="1"/>
          <w:numId w:val="1"/>
        </w:numPr>
        <w:shd w:val="clear" w:color="auto" w:fill="auto"/>
        <w:spacing w:before="120" w:after="120"/>
        <w:rPr>
          <w:color w:val="1C1C1C"/>
        </w:rPr>
      </w:pPr>
      <w:r>
        <w:rPr>
          <w:rFonts w:cs="Arial" w:ascii="Arial" w:hAnsi="Arial"/>
          <w:i/>
          <w:iCs/>
          <w:color w:val="1C1C1C"/>
          <w:szCs w:val="20"/>
        </w:rPr>
        <w:t>A contratação será dividida em itens</w:t>
      </w:r>
      <w:r>
        <w:rPr>
          <w:rFonts w:cs="Arial" w:ascii="Arial" w:hAnsi="Arial"/>
          <w:b/>
          <w:bCs/>
          <w:i/>
          <w:iCs/>
          <w:color w:val="1C1C1C"/>
          <w:szCs w:val="20"/>
        </w:rPr>
        <w:t>,</w:t>
      </w:r>
      <w:r>
        <w:rPr>
          <w:rFonts w:cs="Arial" w:ascii="Arial" w:hAnsi="Arial"/>
          <w:i/>
          <w:iCs/>
          <w:color w:val="1C1C1C"/>
          <w:szCs w:val="20"/>
        </w:rPr>
        <w:t xml:space="preserve"> conforme tabela constante abaixo.</w:t>
      </w:r>
    </w:p>
    <w:tbl>
      <w:tblPr>
        <w:tblW w:w="9137" w:type="dxa"/>
        <w:jc w:val="left"/>
        <w:tblInd w:w="11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83" w:type="dxa"/>
          <w:bottom w:w="0" w:type="dxa"/>
          <w:right w:w="108" w:type="dxa"/>
        </w:tblCellMar>
        <w:tblLook w:firstRow="1" w:noVBand="1" w:lastRow="0" w:firstColumn="1" w:lastColumn="0" w:noHBand="0" w:val="04a0"/>
      </w:tblPr>
      <w:tblGrid>
        <w:gridCol w:w="899"/>
        <w:gridCol w:w="3586"/>
        <w:gridCol w:w="1020"/>
        <w:gridCol w:w="900"/>
        <w:gridCol w:w="1425"/>
        <w:gridCol w:w="1306"/>
      </w:tblGrid>
      <w:tr>
        <w:trPr/>
        <w:tc>
          <w:tcPr>
            <w:tcW w:w="8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Web"/>
              <w:spacing w:before="0" w:after="0"/>
              <w:jc w:val="center"/>
              <w:rPr>
                <w:rFonts w:ascii="Times" w:hAnsi="Times"/>
                <w:b/>
                <w:b/>
                <w:bCs/>
                <w:sz w:val="20"/>
                <w:szCs w:val="20"/>
              </w:rPr>
            </w:pPr>
            <w:r>
              <w:rPr>
                <w:rFonts w:ascii="Times" w:hAnsi="Times"/>
                <w:b/>
                <w:bCs/>
                <w:sz w:val="20"/>
                <w:szCs w:val="20"/>
              </w:rPr>
              <w:t>ITEM</w:t>
            </w:r>
          </w:p>
        </w:tc>
        <w:tc>
          <w:tcPr>
            <w:tcW w:w="35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Web"/>
              <w:spacing w:before="0" w:after="0"/>
              <w:jc w:val="center"/>
              <w:rPr>
                <w:rFonts w:ascii="Times" w:hAnsi="Times"/>
                <w:b/>
                <w:b/>
                <w:bCs/>
                <w:sz w:val="20"/>
                <w:szCs w:val="20"/>
              </w:rPr>
            </w:pPr>
            <w:r>
              <w:rPr>
                <w:rFonts w:ascii="Times" w:hAnsi="Times"/>
                <w:b/>
                <w:bCs/>
                <w:sz w:val="20"/>
                <w:szCs w:val="20"/>
              </w:rPr>
              <w:t>DESCRIÇÃO</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Web"/>
              <w:spacing w:before="0" w:after="0"/>
              <w:jc w:val="center"/>
              <w:rPr>
                <w:rFonts w:ascii="Times" w:hAnsi="Times"/>
                <w:b/>
                <w:b/>
                <w:bCs/>
                <w:sz w:val="20"/>
                <w:szCs w:val="20"/>
              </w:rPr>
            </w:pPr>
            <w:r>
              <w:rPr>
                <w:rFonts w:ascii="Times" w:hAnsi="Times"/>
                <w:b/>
                <w:bCs/>
                <w:sz w:val="20"/>
                <w:szCs w:val="20"/>
              </w:rPr>
              <w:t>UND</w:t>
            </w:r>
          </w:p>
        </w:tc>
        <w:tc>
          <w:tcPr>
            <w:tcW w:w="9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Web"/>
              <w:spacing w:before="0" w:after="0"/>
              <w:jc w:val="center"/>
              <w:rPr>
                <w:rFonts w:ascii="Times" w:hAnsi="Times"/>
                <w:b/>
                <w:b/>
                <w:bCs/>
                <w:sz w:val="20"/>
                <w:szCs w:val="20"/>
              </w:rPr>
            </w:pPr>
            <w:r>
              <w:rPr>
                <w:rFonts w:ascii="Times" w:hAnsi="Times"/>
                <w:b/>
                <w:bCs/>
                <w:sz w:val="20"/>
                <w:szCs w:val="20"/>
              </w:rPr>
              <w:t>QNT</w:t>
            </w:r>
          </w:p>
        </w:tc>
        <w:tc>
          <w:tcPr>
            <w:tcW w:w="1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Web"/>
              <w:spacing w:before="0" w:after="0"/>
              <w:jc w:val="center"/>
              <w:rPr>
                <w:rFonts w:ascii="Times" w:hAnsi="Times"/>
                <w:b/>
                <w:b/>
                <w:bCs/>
                <w:sz w:val="20"/>
                <w:szCs w:val="20"/>
              </w:rPr>
            </w:pPr>
            <w:r>
              <w:rPr>
                <w:rFonts w:ascii="Times" w:hAnsi="Times"/>
                <w:b/>
                <w:bCs/>
                <w:sz w:val="20"/>
                <w:szCs w:val="20"/>
              </w:rPr>
              <w:t>Valor Unitário (R$)</w:t>
            </w:r>
          </w:p>
        </w:tc>
        <w:tc>
          <w:tcPr>
            <w:tcW w:w="130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Web"/>
              <w:spacing w:before="0" w:after="0"/>
              <w:jc w:val="center"/>
              <w:rPr>
                <w:rFonts w:ascii="Times" w:hAnsi="Times"/>
                <w:b/>
                <w:b/>
                <w:bCs/>
                <w:sz w:val="20"/>
                <w:szCs w:val="20"/>
              </w:rPr>
            </w:pPr>
            <w:r>
              <w:rPr>
                <w:rFonts w:ascii="Times" w:hAnsi="Times"/>
                <w:b/>
                <w:bCs/>
                <w:sz w:val="20"/>
                <w:szCs w:val="20"/>
              </w:rPr>
              <w:t>Valor Total (R$)</w:t>
            </w:r>
          </w:p>
        </w:tc>
      </w:tr>
      <w:tr>
        <w:trPr/>
        <w:tc>
          <w:tcPr>
            <w:tcW w:w="8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Web"/>
              <w:spacing w:lineRule="auto" w:line="240" w:before="0" w:after="0"/>
              <w:jc w:val="center"/>
              <w:rPr>
                <w:rFonts w:ascii="Times" w:hAnsi="Times" w:eastAsia="Times New Roman" w:cs="Times New Roman"/>
                <w:sz w:val="20"/>
                <w:szCs w:val="20"/>
                <w:lang w:eastAsia="pt-BR" w:bidi="ar-SA"/>
              </w:rPr>
            </w:pPr>
            <w:r>
              <w:rPr>
                <w:rFonts w:eastAsia="Times New Roman" w:cs="Times New Roman" w:ascii="Times" w:hAnsi="Times"/>
                <w:sz w:val="20"/>
                <w:szCs w:val="20"/>
                <w:lang w:eastAsia="pt-BR" w:bidi="ar-SA"/>
              </w:rPr>
              <w:t>01</w:t>
            </w:r>
          </w:p>
        </w:tc>
        <w:tc>
          <w:tcPr>
            <w:tcW w:w="35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Corpodetexto"/>
              <w:spacing w:lineRule="auto" w:line="240" w:before="0" w:after="0"/>
              <w:jc w:val="both"/>
              <w:rPr/>
            </w:pPr>
            <w:r>
              <w:rPr>
                <w:rFonts w:ascii="Times" w:hAnsi="Times"/>
                <w:b w:val="false"/>
                <w:i w:val="false"/>
                <w:strike w:val="false"/>
                <w:dstrike w:val="false"/>
                <w:outline w:val="false"/>
                <w:shadow w:val="false"/>
                <w:sz w:val="20"/>
                <w:szCs w:val="20"/>
                <w:u w:val="none"/>
                <w:em w:val="none"/>
              </w:rPr>
              <w:t>Sanduicheira 750</w:t>
            </w:r>
            <w:r>
              <w:rPr>
                <w:rFonts w:ascii="Times" w:hAnsi="Times"/>
                <w:b w:val="false"/>
                <w:i w:val="false"/>
                <w:strike w:val="false"/>
                <w:dstrike w:val="false"/>
                <w:outline w:val="false"/>
                <w:shadow w:val="false"/>
                <w:sz w:val="20"/>
                <w:szCs w:val="20"/>
                <w:u w:val="none"/>
                <w:em w:val="none"/>
              </w:rPr>
              <w:t>W</w:t>
            </w:r>
            <w:r>
              <w:rPr>
                <w:rFonts w:ascii="Times" w:hAnsi="Times"/>
                <w:b w:val="false"/>
                <w:i w:val="false"/>
                <w:strike w:val="false"/>
                <w:dstrike w:val="false"/>
                <w:outline w:val="false"/>
                <w:shadow w:val="false"/>
                <w:sz w:val="20"/>
                <w:szCs w:val="20"/>
                <w:u w:val="none"/>
                <w:em w:val="none"/>
              </w:rPr>
              <w:t xml:space="preserve">: </w:t>
            </w:r>
            <w:r>
              <w:rPr>
                <w:rFonts w:ascii="Times" w:hAnsi="Times"/>
                <w:b w:val="false"/>
                <w:i w:val="false"/>
                <w:strike w:val="false"/>
                <w:dstrike w:val="false"/>
                <w:outline w:val="false"/>
                <w:shadow w:val="false"/>
                <w:sz w:val="20"/>
                <w:szCs w:val="20"/>
                <w:u w:val="none"/>
                <w:em w:val="none"/>
              </w:rPr>
              <w:t xml:space="preserve">Garantia de </w:t>
            </w:r>
            <w:r>
              <w:rPr>
                <w:rFonts w:ascii="Times" w:hAnsi="Times"/>
                <w:b w:val="false"/>
                <w:i w:val="false"/>
                <w:strike w:val="false"/>
                <w:dstrike w:val="false"/>
                <w:outline w:val="false"/>
                <w:shadow w:val="false"/>
                <w:sz w:val="20"/>
                <w:szCs w:val="20"/>
                <w:u w:val="none"/>
                <w:em w:val="none"/>
              </w:rPr>
              <w:t xml:space="preserve">12 (doze) meses, para defeito de fabricação. </w:t>
            </w:r>
          </w:p>
          <w:p>
            <w:pPr>
              <w:pStyle w:val="Normal"/>
              <w:spacing w:lineRule="auto" w:line="240" w:before="0" w:after="0"/>
              <w:jc w:val="both"/>
              <w:rPr>
                <w:rFonts w:ascii="Times" w:hAnsi="Times"/>
                <w:b w:val="false"/>
                <w:b w:val="false"/>
                <w:i w:val="false"/>
                <w:i w:val="false"/>
                <w:strike w:val="false"/>
                <w:dstrike w:val="false"/>
                <w:outline w:val="false"/>
                <w:shadow w:val="false"/>
                <w:sz w:val="20"/>
                <w:szCs w:val="20"/>
                <w:u w:val="none"/>
                <w:em w:val="none"/>
              </w:rPr>
            </w:pPr>
            <w:r>
              <w:rPr>
                <w:rFonts w:ascii="Times" w:hAnsi="Times"/>
                <w:b w:val="false"/>
                <w:i w:val="false"/>
                <w:strike w:val="false"/>
                <w:dstrike w:val="false"/>
                <w:outline w:val="false"/>
                <w:shadow w:val="false"/>
                <w:sz w:val="20"/>
                <w:szCs w:val="20"/>
                <w:u w:val="none"/>
                <w:em w:val="none"/>
              </w:rPr>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spacing w:lineRule="auto" w:line="240" w:before="0" w:after="0"/>
              <w:jc w:val="center"/>
              <w:rPr>
                <w:rFonts w:ascii="Times" w:hAnsi="Times"/>
                <w:b w:val="false"/>
                <w:b w:val="false"/>
                <w:i w:val="false"/>
                <w:i w:val="false"/>
                <w:strike w:val="false"/>
                <w:dstrike w:val="false"/>
                <w:outline w:val="false"/>
                <w:shadow w:val="false"/>
                <w:sz w:val="20"/>
                <w:szCs w:val="20"/>
                <w:u w:val="none"/>
                <w:em w:val="none"/>
              </w:rPr>
            </w:pPr>
            <w:r>
              <w:rPr>
                <w:rFonts w:ascii="Times" w:hAnsi="Times"/>
                <w:b w:val="false"/>
                <w:i w:val="false"/>
                <w:strike w:val="false"/>
                <w:dstrike w:val="false"/>
                <w:outline w:val="false"/>
                <w:shadow w:val="false"/>
                <w:sz w:val="20"/>
                <w:szCs w:val="20"/>
                <w:u w:val="none"/>
                <w:em w:val="none"/>
              </w:rPr>
              <w:t>Und</w:t>
            </w:r>
          </w:p>
        </w:tc>
        <w:tc>
          <w:tcPr>
            <w:tcW w:w="9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spacing w:lineRule="auto" w:line="240" w:before="0" w:after="0"/>
              <w:jc w:val="center"/>
              <w:rPr/>
            </w:pPr>
            <w:r>
              <w:rPr>
                <w:rFonts w:ascii="Times" w:hAnsi="Times"/>
                <w:b w:val="false"/>
                <w:i w:val="false"/>
                <w:strike w:val="false"/>
                <w:dstrike w:val="false"/>
                <w:outline w:val="false"/>
                <w:shadow w:val="false"/>
                <w:sz w:val="20"/>
                <w:szCs w:val="20"/>
                <w:u w:val="none"/>
                <w:em w:val="none"/>
              </w:rPr>
              <w:t>0</w:t>
            </w:r>
            <w:r>
              <w:rPr>
                <w:rFonts w:ascii="Times" w:hAnsi="Times"/>
                <w:b w:val="false"/>
                <w:i w:val="false"/>
                <w:strike w:val="false"/>
                <w:dstrike w:val="false"/>
                <w:outline w:val="false"/>
                <w:shadow w:val="false"/>
                <w:sz w:val="20"/>
                <w:szCs w:val="20"/>
                <w:u w:val="none"/>
                <w:em w:val="none"/>
              </w:rPr>
              <w:t>2</w:t>
            </w:r>
          </w:p>
        </w:tc>
        <w:tc>
          <w:tcPr>
            <w:tcW w:w="1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Web"/>
              <w:spacing w:lineRule="auto" w:line="360" w:before="0" w:after="0"/>
              <w:jc w:val="center"/>
              <w:rPr/>
            </w:pPr>
            <w:r>
              <w:rPr>
                <w:rFonts w:eastAsia="Times New Roman" w:cs="Times New Roman" w:ascii="Times" w:hAnsi="Times"/>
                <w:b w:val="false"/>
                <w:bCs w:val="false"/>
                <w:i w:val="false"/>
                <w:strike w:val="false"/>
                <w:dstrike w:val="false"/>
                <w:outline w:val="false"/>
                <w:shadow w:val="false"/>
                <w:sz w:val="20"/>
                <w:szCs w:val="20"/>
                <w:u w:val="none"/>
                <w:em w:val="none"/>
                <w:lang w:eastAsia="pt-BR" w:bidi="ar-SA"/>
              </w:rPr>
              <w:t xml:space="preserve">R$ </w:t>
            </w:r>
            <w:r>
              <w:rPr>
                <w:rFonts w:eastAsia="Times New Roman" w:cs="Times New Roman" w:ascii="Times" w:hAnsi="Times"/>
                <w:b w:val="false"/>
                <w:bCs w:val="false"/>
                <w:i w:val="false"/>
                <w:strike w:val="false"/>
                <w:dstrike w:val="false"/>
                <w:outline w:val="false"/>
                <w:shadow w:val="false"/>
                <w:sz w:val="20"/>
                <w:szCs w:val="20"/>
                <w:u w:val="none"/>
                <w:em w:val="none"/>
                <w:lang w:eastAsia="pt-BR" w:bidi="ar-SA"/>
              </w:rPr>
              <w:t>191,30</w:t>
            </w:r>
          </w:p>
        </w:tc>
        <w:tc>
          <w:tcPr>
            <w:tcW w:w="130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Web"/>
              <w:spacing w:lineRule="auto" w:line="360" w:before="0" w:after="0"/>
              <w:jc w:val="center"/>
              <w:rPr/>
            </w:pPr>
            <w:bookmarkStart w:id="1" w:name="__DdeLink__492_3795695818"/>
            <w:r>
              <w:rPr>
                <w:rFonts w:ascii="Times" w:hAnsi="Times"/>
                <w:b w:val="false"/>
                <w:bCs w:val="false"/>
                <w:i w:val="false"/>
                <w:strike w:val="false"/>
                <w:dstrike w:val="false"/>
                <w:outline w:val="false"/>
                <w:shadow w:val="false"/>
                <w:sz w:val="20"/>
                <w:szCs w:val="20"/>
                <w:u w:val="none"/>
                <w:em w:val="none"/>
              </w:rPr>
              <w:t xml:space="preserve">R$ </w:t>
            </w:r>
            <w:bookmarkEnd w:id="1"/>
            <w:r>
              <w:rPr>
                <w:rFonts w:eastAsia="Times New Roman" w:cs="Times New Roman" w:ascii="Times" w:hAnsi="Times"/>
                <w:b w:val="false"/>
                <w:bCs w:val="false"/>
                <w:i w:val="false"/>
                <w:strike w:val="false"/>
                <w:dstrike w:val="false"/>
                <w:outline w:val="false"/>
                <w:shadow w:val="false"/>
                <w:sz w:val="20"/>
                <w:szCs w:val="20"/>
                <w:u w:val="none"/>
                <w:em w:val="none"/>
                <w:lang w:eastAsia="pt-BR" w:bidi="ar-SA"/>
              </w:rPr>
              <w:t>382,60</w:t>
            </w:r>
          </w:p>
        </w:tc>
      </w:tr>
    </w:tbl>
    <w:p>
      <w:pPr>
        <w:pStyle w:val="PADRO"/>
        <w:keepNext/>
        <w:widowControl/>
        <w:numPr>
          <w:ilvl w:val="2"/>
          <w:numId w:val="1"/>
        </w:numPr>
        <w:shd w:val="clear" w:color="auto" w:fill="auto"/>
        <w:spacing w:before="120" w:after="120"/>
        <w:rPr/>
      </w:pPr>
      <w:r>
        <w:rPr>
          <w:rFonts w:cs="Arial" w:ascii="Arial" w:hAnsi="Arial"/>
          <w:szCs w:val="20"/>
        </w:rPr>
        <w:t>Havendo mais de item ou lote faculta-se ao fornecedor a participação em quantos forem de seu interesse. Entretanto, optando-se por participar de um lote, deve o fornecedor enviar proposta para todos os itens que o compõem.</w:t>
      </w:r>
    </w:p>
    <w:p>
      <w:pPr>
        <w:pStyle w:val="PADRO"/>
        <w:keepNext/>
        <w:widowControl/>
        <w:numPr>
          <w:ilvl w:val="1"/>
          <w:numId w:val="1"/>
        </w:numPr>
        <w:shd w:val="clear" w:color="auto" w:fill="auto"/>
        <w:spacing w:before="120" w:after="120"/>
        <w:rPr/>
      </w:pPr>
      <w:r>
        <w:rPr>
          <w:rFonts w:cs="Arial" w:ascii="Arial" w:hAnsi="Arial"/>
          <w:szCs w:val="20"/>
        </w:rPr>
        <w:t>O critério de julgamento adotado será o</w:t>
      </w:r>
      <w:r>
        <w:rPr>
          <w:rFonts w:cs="Arial" w:ascii="Arial" w:hAnsi="Arial"/>
          <w:i/>
          <w:iCs/>
          <w:szCs w:val="20"/>
        </w:rPr>
        <w:t xml:space="preserve"> </w:t>
      </w:r>
      <w:r>
        <w:rPr>
          <w:rFonts w:cs="Arial" w:ascii="Arial" w:hAnsi="Arial"/>
          <w:i/>
          <w:iCs/>
          <w:color w:val="1C1C1C"/>
          <w:szCs w:val="20"/>
        </w:rPr>
        <w:t>menor preço,</w:t>
      </w:r>
      <w:r>
        <w:rPr>
          <w:rFonts w:cs="Arial" w:ascii="Arial" w:hAnsi="Arial"/>
          <w:color w:val="FF0000"/>
          <w:szCs w:val="20"/>
        </w:rPr>
        <w:t xml:space="preserve"> </w:t>
      </w:r>
      <w:r>
        <w:rPr>
          <w:rFonts w:cs="Arial" w:ascii="Arial" w:hAnsi="Arial"/>
          <w:szCs w:val="20"/>
        </w:rPr>
        <w:t>observadas as exigências contidas neste Aviso de Contratação Direta e seus Anexos quanto às especificações do objeto.</w:t>
      </w:r>
    </w:p>
    <w:p>
      <w:pPr>
        <w:pStyle w:val="PADRO"/>
        <w:keepNext/>
        <w:widowControl/>
        <w:numPr>
          <w:ilvl w:val="0"/>
          <w:numId w:val="1"/>
        </w:numPr>
        <w:shd w:val="clear" w:color="auto" w:fill="auto"/>
        <w:spacing w:before="120" w:after="120"/>
        <w:rPr>
          <w:rFonts w:ascii="Arial" w:hAnsi="Arial" w:cs="Arial"/>
          <w:b/>
          <w:b/>
        </w:rPr>
      </w:pPr>
      <w:r>
        <w:rPr>
          <w:rFonts w:cs="Arial" w:ascii="Arial" w:hAnsi="Arial"/>
          <w:b/>
        </w:rPr>
        <w:t>PARTICIPAÇÃO NA DISPENSA ELETRÔNICA.</w:t>
      </w:r>
    </w:p>
    <w:p>
      <w:pPr>
        <w:pStyle w:val="Normal"/>
        <w:numPr>
          <w:ilvl w:val="1"/>
          <w:numId w:val="1"/>
        </w:numPr>
        <w:snapToGrid w:val="false"/>
        <w:spacing w:lineRule="auto" w:line="276" w:before="120" w:after="120"/>
        <w:ind w:left="425" w:hanging="0"/>
        <w:jc w:val="both"/>
        <w:rPr>
          <w:rFonts w:cs="Arial"/>
          <w:szCs w:val="20"/>
        </w:rPr>
      </w:pPr>
      <w:r>
        <w:rPr>
          <w:rFonts w:cs="Arial"/>
          <w:szCs w:val="20"/>
        </w:rPr>
        <w:t xml:space="preserve">A participação na presente dispensa eletrônica se dará mediante </w:t>
      </w:r>
      <w:r>
        <w:rPr>
          <w:rFonts w:cs="Arial"/>
          <w:bCs/>
          <w:szCs w:val="20"/>
        </w:rPr>
        <w:t>Sistema de Dispensa Eletrônica</w:t>
      </w:r>
      <w:r>
        <w:rPr>
          <w:rFonts w:cs="Arial"/>
          <w:szCs w:val="20"/>
        </w:rPr>
        <w:t xml:space="preserve"> integrante do Sistema de Compras do Governo Federal – Comprasnet 4.0, disponível no </w:t>
      </w:r>
      <w:r>
        <w:rPr>
          <w:rFonts w:cs="Arial"/>
          <w:bCs/>
          <w:szCs w:val="20"/>
        </w:rPr>
        <w:t xml:space="preserve">endereço eletrônico </w:t>
      </w:r>
      <w:r>
        <w:rPr>
          <w:rFonts w:cs="Arial"/>
          <w:color w:val="FF0000"/>
          <w:szCs w:val="20"/>
        </w:rPr>
        <w:t>...</w:t>
      </w:r>
      <w:r>
        <w:rPr>
          <w:rFonts w:cs="Arial"/>
          <w:szCs w:val="20"/>
        </w:rPr>
        <w:t>.</w:t>
      </w:r>
    </w:p>
    <w:p>
      <w:pPr>
        <w:pStyle w:val="Normal"/>
        <w:numPr>
          <w:ilvl w:val="2"/>
          <w:numId w:val="1"/>
        </w:numPr>
        <w:snapToGrid w:val="false"/>
        <w:spacing w:lineRule="auto" w:line="276" w:before="120" w:after="120"/>
        <w:jc w:val="both"/>
        <w:rPr>
          <w:rFonts w:cs="Arial"/>
          <w:szCs w:val="20"/>
        </w:rPr>
      </w:pPr>
      <w:r>
        <w:rPr>
          <w:rFonts w:cs="Arial"/>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Não poderão participar desta dispensa os fornecedores: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se enquadrem nas seguintes vedações: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pPr>
      <w:r>
        <w:rPr>
          <w:rFonts w:cs="Arial"/>
          <w:color w:val="000000"/>
          <w:szCs w:val="20"/>
        </w:rPr>
        <w:t>empresas controladoras, controladas ou coligadas, nos termos da </w:t>
      </w:r>
      <w:hyperlink r:id="rId3">
        <w:r>
          <w:rPr>
            <w:rStyle w:val="LinkdaInternet"/>
            <w:rFonts w:eastAsia="Calibri" w:cs="Arial"/>
            <w:szCs w:val="20"/>
          </w:rPr>
          <w:t>Lei nº 6.404, de 15 de dezembro de 1976</w:t>
        </w:r>
      </w:hyperlink>
      <w:r>
        <w:rPr>
          <w:rFonts w:cs="Arial"/>
          <w:color w:val="000000"/>
          <w:szCs w:val="20"/>
        </w:rPr>
        <w:t>, concorrendo entre si;</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pPr>
        <w:pStyle w:val="Normal"/>
        <w:numPr>
          <w:ilvl w:val="0"/>
          <w:numId w:val="0"/>
        </w:numPr>
        <w:spacing w:lineRule="auto" w:line="276" w:before="120" w:after="120"/>
        <w:ind w:left="1224" w:hanging="0"/>
        <w:jc w:val="both"/>
        <w:rPr>
          <w:rFonts w:cs="Arial"/>
          <w:i/>
          <w:i/>
          <w:color w:val="FF0000"/>
          <w:szCs w:val="20"/>
        </w:rPr>
      </w:pPr>
      <w:r>
        <w:rPr>
          <w:rFonts w:cs="Arial"/>
          <w:i/>
          <w:color w:val="FF0000"/>
          <w:szCs w:val="20"/>
        </w:rPr>
      </w:r>
    </w:p>
    <w:p>
      <w:pPr>
        <w:pStyle w:val="PADRO"/>
        <w:keepNext/>
        <w:widowControl/>
        <w:numPr>
          <w:ilvl w:val="0"/>
          <w:numId w:val="1"/>
        </w:numPr>
        <w:shd w:val="clear" w:color="auto" w:fill="auto"/>
        <w:spacing w:before="120" w:after="120"/>
        <w:rPr>
          <w:rFonts w:ascii="Arial" w:hAnsi="Arial" w:cs="Arial"/>
          <w:b/>
          <w:b/>
        </w:rPr>
      </w:pPr>
      <w:r>
        <w:rPr>
          <w:rFonts w:cs="Arial" w:ascii="Arial" w:hAnsi="Arial"/>
          <w:b/>
        </w:rPr>
        <w:t>INGRESSO NA DISPENSA ELETRÔNICA E CADASTRAMENTO DA PROPOSTA INICIAL</w:t>
      </w:r>
    </w:p>
    <w:p>
      <w:pPr>
        <w:pStyle w:val="Normal"/>
        <w:numPr>
          <w:ilvl w:val="1"/>
          <w:numId w:val="1"/>
        </w:numPr>
        <w:snapToGrid w:val="false"/>
        <w:spacing w:lineRule="auto" w:line="276" w:before="120" w:after="120"/>
        <w:ind w:left="425" w:hanging="0"/>
        <w:jc w:val="both"/>
        <w:rPr>
          <w:rFonts w:cs="Arial"/>
        </w:rPr>
      </w:pPr>
      <w:r>
        <w:rPr>
          <w:rFonts w:cs="Arial"/>
          <w:color w:val="000000" w:themeColor="text1"/>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Cs w:val="20"/>
        </w:rPr>
      </w:pP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pPr>
      <w:r>
        <w:rPr>
          <w:rFonts w:cs="Arial"/>
          <w:szCs w:val="20"/>
        </w:rPr>
        <w:t xml:space="preserve">A apresentação das propostas implica obrigatoriedade do cumprimento das disposições nelas contidas, em conformidade com o que dispõe o </w:t>
      </w:r>
      <w:r>
        <w:rPr>
          <w:rFonts w:cs="Arial"/>
          <w:i/>
          <w:color w:val="1C1C1C"/>
          <w:szCs w:val="20"/>
        </w:rPr>
        <w:t>Termo de Referência</w:t>
      </w:r>
      <w:r>
        <w:rPr>
          <w:rFonts w:cs="Arial"/>
          <w:color w:val="1C1C1C"/>
          <w:szCs w:val="20"/>
        </w:rPr>
        <w:t>,</w:t>
      </w:r>
      <w:r>
        <w:rPr>
          <w:rFonts w:cs="Arial"/>
          <w:szCs w:val="20"/>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cs="Arial"/>
          <w:color w:val="000000" w:themeColor="text1"/>
          <w:szCs w:val="20"/>
        </w:rPr>
      </w:pPr>
      <w:r>
        <w:rPr>
          <w:rFonts w:cs="Arial"/>
          <w:szCs w:val="20"/>
        </w:rPr>
        <w:t xml:space="preserve">Uma vez enviada a proposta no sistema, os fornecedores </w:t>
      </w:r>
      <w:r>
        <w:rPr>
          <w:rFonts w:cs="Arial"/>
          <w:b/>
          <w:bCs/>
          <w:szCs w:val="20"/>
        </w:rPr>
        <w:t>NÃO</w:t>
      </w:r>
      <w:r>
        <w:rPr>
          <w:rFonts w:cs="Arial"/>
          <w:szCs w:val="20"/>
        </w:rPr>
        <w:t xml:space="preserve"> poderão retirá-la, substituí-la ou modificá-la</w:t>
      </w:r>
      <w:r>
        <w:rPr>
          <w:rFonts w:cs="Arial"/>
          <w:color w:val="000000"/>
          <w:szCs w:val="20"/>
        </w:rPr>
        <w:t>;</w:t>
      </w:r>
    </w:p>
    <w:p>
      <w:pPr>
        <w:pStyle w:val="Normal"/>
        <w:numPr>
          <w:ilvl w:val="1"/>
          <w:numId w:val="1"/>
        </w:numPr>
        <w:spacing w:lineRule="auto" w:line="276" w:before="120" w:after="120"/>
        <w:ind w:left="425" w:hanging="0"/>
        <w:jc w:val="both"/>
        <w:rPr/>
      </w:pPr>
      <w:r>
        <w:rPr>
          <w:rFonts w:cs="Arial"/>
          <w:color w:val="000000"/>
          <w:szCs w:val="20"/>
        </w:rPr>
        <w:t xml:space="preserve">No cadastramento da proposta inicial, o fornecedor deverá, também, assinalar “sim” ou “não” em campo </w:t>
      </w:r>
      <w:r>
        <w:rPr>
          <w:rFonts w:cs="Arial"/>
          <w:szCs w:val="20"/>
        </w:rPr>
        <w:t>próprio</w:t>
      </w:r>
      <w:r>
        <w:rPr>
          <w:rFonts w:cs="Arial"/>
          <w:color w:val="000000"/>
          <w:szCs w:val="20"/>
        </w:rPr>
        <w:t xml:space="preserve"> do sistema eletrônico, às seguintes declarações:</w:t>
      </w:r>
      <w:r>
        <w:rPr>
          <w:rFonts w:eastAsia="Zurich BT" w:cs="Arial"/>
          <w:color w:val="000000"/>
          <w:szCs w:val="20"/>
        </w:rPr>
        <w:t xml:space="preserve"> </w:t>
      </w:r>
    </w:p>
    <w:p>
      <w:pPr>
        <w:pStyle w:val="ListParagraph"/>
        <w:numPr>
          <w:ilvl w:val="0"/>
          <w:numId w:val="2"/>
        </w:numPr>
        <w:tabs>
          <w:tab w:val="left" w:pos="1440" w:leader="none"/>
        </w:tabs>
        <w:snapToGrid w:val="false"/>
        <w:spacing w:lineRule="auto" w:line="276" w:before="120" w:after="120"/>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jc w:val="both"/>
        <w:rPr>
          <w:rFonts w:cs="Arial"/>
          <w:bCs/>
          <w:vanish/>
          <w:color w:val="000000"/>
          <w:szCs w:val="20"/>
        </w:rPr>
      </w:pPr>
      <w:r>
        <w:rPr>
          <w:rFonts w:cs="Arial"/>
          <w:bCs/>
          <w:vanish/>
          <w:color w:val="000000"/>
          <w:szCs w:val="20"/>
        </w:rPr>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pPr>
      <w:r>
        <w:rPr>
          <w:rFonts w:cs="Arial"/>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PADRO"/>
        <w:keepNext/>
        <w:widowControl/>
        <w:numPr>
          <w:ilvl w:val="0"/>
          <w:numId w:val="1"/>
        </w:numPr>
        <w:shd w:val="clear" w:color="auto" w:fill="auto"/>
        <w:spacing w:before="120" w:after="120"/>
        <w:rPr/>
      </w:pPr>
      <w:r>
        <w:rPr>
          <w:rFonts w:cs="Arial" w:ascii="Arial" w:hAnsi="Arial"/>
          <w:b/>
        </w:rPr>
        <w:t>FASE DE LANCES</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 xml:space="preserve">A partir das 8:00h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jc w:val="both"/>
        <w:rPr>
          <w:color w:val="1C1C1C"/>
        </w:rPr>
      </w:pPr>
      <w:r>
        <w:rPr>
          <w:rFonts w:cs="Arial"/>
          <w:i/>
          <w:iCs/>
          <w:color w:val="1C1C1C"/>
          <w:szCs w:val="20"/>
        </w:rPr>
        <w:t>O lance deverá ser ofertado pelo valor unitário do item.</w:t>
      </w:r>
    </w:p>
    <w:p>
      <w:pPr>
        <w:pStyle w:val="ListParagraph"/>
        <w:numPr>
          <w:ilvl w:val="1"/>
          <w:numId w:val="1"/>
        </w:numPr>
        <w:spacing w:lineRule="auto" w:line="276" w:before="120" w:after="120"/>
        <w:jc w:val="both"/>
        <w:rPr/>
      </w:pPr>
      <w:r>
        <w:rPr>
          <w:rFonts w:cs="Arial"/>
          <w:color w:val="000000" w:themeColor="text1"/>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jc w:val="both"/>
        <w:rPr/>
      </w:pPr>
      <w:r>
        <w:rPr>
          <w:rFonts w:cs="Arial"/>
          <w:szCs w:val="20"/>
        </w:rPr>
        <w:t>O intervalo mínimo de diferença de valores ou percentuais entre os lances, que incidirá tanto em relação aos lances intermediários quanto em relação ao que cobrir a melhor oferta é de</w:t>
      </w:r>
      <w:r>
        <w:rPr>
          <w:rFonts w:cs="Arial"/>
          <w:i/>
          <w:iCs/>
          <w:szCs w:val="20"/>
        </w:rPr>
        <w:t xml:space="preserve"> R$ 0,10</w:t>
      </w:r>
      <w:r>
        <w:rPr>
          <w:rFonts w:cs="Arial"/>
          <w:i/>
          <w:iCs/>
          <w:color w:val="1C1C1C"/>
          <w:szCs w:val="20"/>
        </w:rPr>
        <w:t xml:space="preserve"> (dez centavos).</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PADRO"/>
        <w:keepNext/>
        <w:widowControl/>
        <w:numPr>
          <w:ilvl w:val="0"/>
          <w:numId w:val="1"/>
        </w:numPr>
        <w:shd w:val="clear" w:color="auto" w:fill="auto"/>
        <w:spacing w:before="120" w:after="120"/>
        <w:rPr>
          <w:rFonts w:ascii="Arial" w:hAnsi="Arial" w:cs="Arial"/>
          <w:b/>
          <w:b/>
        </w:rPr>
      </w:pPr>
      <w:r>
        <w:rPr>
          <w:rFonts w:cs="Arial" w:ascii="Arial" w:hAnsi="Arial"/>
          <w:b/>
        </w:rPr>
        <w:t>JULGAMENTO DAS PROPOSTAS DE PREÇO</w:t>
      </w:r>
    </w:p>
    <w:p>
      <w:pPr>
        <w:pStyle w:val="ListParagraph"/>
        <w:numPr>
          <w:ilvl w:val="1"/>
          <w:numId w:val="1"/>
        </w:numPr>
        <w:spacing w:lineRule="auto" w:line="276" w:before="120" w:after="120"/>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jc w:val="both"/>
        <w:rPr>
          <w:rFonts w:cs="Arial"/>
        </w:rPr>
      </w:pPr>
      <w:r>
        <w:rPr>
          <w:rFonts w:cs="Arial"/>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jc w:val="both"/>
        <w:rPr>
          <w:rFonts w:cs="Arial"/>
        </w:rPr>
      </w:pPr>
      <w:r>
        <w:rPr>
          <w:rFonts w:cs="Arial"/>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jc w:val="both"/>
        <w:rPr>
          <w:rFonts w:cs="Arial"/>
        </w:rPr>
      </w:pPr>
      <w:r>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jc w:val="both"/>
        <w:rPr>
          <w:rFonts w:cs="Arial"/>
        </w:rPr>
      </w:pPr>
      <w:r>
        <w:rPr>
          <w:rFonts w:cs="Arial"/>
        </w:rPr>
        <w:t>Em qualquer caso, concluída a negociação, o resultado será registrado na ata do procedimento da dispensa eletrônica.</w:t>
      </w:r>
    </w:p>
    <w:p>
      <w:pPr>
        <w:pStyle w:val="ListParagraph"/>
        <w:numPr>
          <w:ilvl w:val="1"/>
          <w:numId w:val="1"/>
        </w:numPr>
        <w:spacing w:lineRule="auto" w:line="276" w:before="120" w:after="120"/>
        <w:jc w:val="both"/>
        <w:rPr>
          <w:rFonts w:cs="Arial"/>
        </w:rPr>
      </w:pPr>
      <w:r>
        <w:rPr>
          <w:rFonts w:cs="Arial"/>
        </w:rPr>
        <w:t>Estando o preço compatível, será solicitado o envio da proposta e, se necessário, de documentos complementares, adequada ao último lance.</w:t>
      </w:r>
    </w:p>
    <w:p>
      <w:pPr>
        <w:pStyle w:val="ListParagraph"/>
        <w:numPr>
          <w:ilvl w:val="2"/>
          <w:numId w:val="1"/>
        </w:numPr>
        <w:spacing w:lineRule="auto" w:line="276" w:before="120" w:after="120"/>
        <w:jc w:val="both"/>
        <w:rPr>
          <w:rFonts w:cs="Arial"/>
          <w:i/>
          <w:i/>
          <w:iCs/>
          <w:color w:val="FF0000"/>
        </w:rPr>
      </w:pPr>
      <w:r>
        <w:rPr>
          <w:rFonts w:cs="Arial"/>
          <w:i/>
          <w:iCs/>
          <w:color w:val="FF0000"/>
        </w:rPr>
      </w:r>
    </w:p>
    <w:p>
      <w:pPr>
        <w:pStyle w:val="Normal"/>
        <w:numPr>
          <w:ilvl w:val="1"/>
          <w:numId w:val="1"/>
        </w:numPr>
        <w:spacing w:lineRule="auto" w:line="276" w:before="120" w:after="120"/>
        <w:jc w:val="both"/>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w:t>
      </w:r>
      <w:r>
        <w:rPr>
          <w:rFonts w:cs="Arial"/>
          <w:color w:val="1C1C1C"/>
          <w:szCs w:val="20"/>
        </w:rPr>
        <w:t>60 (sessenta)</w:t>
      </w:r>
      <w:r>
        <w:rPr>
          <w:rFonts w:cs="Arial"/>
          <w:color w:val="000000" w:themeColor="text1"/>
          <w:szCs w:val="20"/>
        </w:rPr>
        <w:t xml:space="preserve"> dias</w:t>
      </w:r>
      <w:r>
        <w:rPr>
          <w:rFonts w:cs="Arial"/>
          <w:b/>
          <w:bCs/>
          <w:color w:val="000000" w:themeColor="text1"/>
          <w:szCs w:val="20"/>
        </w:rPr>
        <w:t>,</w:t>
      </w:r>
      <w:r>
        <w:rPr>
          <w:rFonts w:cs="Arial"/>
          <w:color w:val="000000" w:themeColor="text1"/>
          <w:szCs w:val="20"/>
        </w:rPr>
        <w:t xml:space="preserve"> a contar da data de sua apresentação.</w:t>
      </w:r>
    </w:p>
    <w:p>
      <w:pPr>
        <w:pStyle w:val="ListParagraph"/>
        <w:numPr>
          <w:ilvl w:val="1"/>
          <w:numId w:val="1"/>
        </w:numPr>
        <w:spacing w:lineRule="auto" w:line="276" w:before="120" w:after="120"/>
        <w:jc w:val="both"/>
        <w:rPr/>
      </w:pPr>
      <w:r>
        <w:rPr>
          <w:rFonts w:cs="Arial"/>
          <w:color w:val="000000" w:themeColor="text1"/>
          <w:szCs w:val="20"/>
          <w:lang w:eastAsia="en-US"/>
        </w:rPr>
        <w:t xml:space="preserve">Será desclassificada a proposta vencedora que: </w:t>
      </w:r>
    </w:p>
    <w:p>
      <w:pPr>
        <w:pStyle w:val="ListParagraph"/>
        <w:numPr>
          <w:ilvl w:val="2"/>
          <w:numId w:val="1"/>
        </w:numPr>
        <w:spacing w:lineRule="auto" w:line="276" w:before="120" w:after="120"/>
        <w:jc w:val="both"/>
        <w:rPr>
          <w:rFonts w:cs="Arial"/>
          <w:i/>
          <w:i/>
          <w:color w:val="000000" w:themeColor="text1"/>
          <w:szCs w:val="20"/>
        </w:rPr>
      </w:pPr>
      <w:r>
        <w:rPr>
          <w:rFonts w:cs="Arial"/>
          <w:color w:val="000000"/>
          <w:szCs w:val="20"/>
        </w:rPr>
        <w:t>contiver vícios insanáveis</w:t>
      </w:r>
      <w:r>
        <w:rPr>
          <w:rFonts w:cs="Arial"/>
          <w:iCs/>
          <w:color w:val="000000" w:themeColor="text1"/>
          <w:szCs w:val="20"/>
        </w:rPr>
        <w:t>;</w:t>
      </w:r>
    </w:p>
    <w:p>
      <w:pPr>
        <w:pStyle w:val="ListParagraph"/>
        <w:numPr>
          <w:ilvl w:val="2"/>
          <w:numId w:val="1"/>
        </w:numPr>
        <w:spacing w:lineRule="auto" w:line="276" w:before="120" w:after="120"/>
        <w:jc w:val="both"/>
        <w:rPr>
          <w:rFonts w:cs="Arial"/>
          <w:i/>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pPr>
        <w:pStyle w:val="ListParagraph"/>
        <w:numPr>
          <w:ilvl w:val="2"/>
          <w:numId w:val="1"/>
        </w:numPr>
        <w:spacing w:lineRule="auto" w:line="276" w:before="120" w:after="120"/>
        <w:jc w:val="both"/>
        <w:rPr>
          <w:rFonts w:cs="Arial"/>
          <w:i/>
          <w:i/>
          <w:color w:val="000000" w:themeColor="text1"/>
          <w:szCs w:val="20"/>
        </w:rPr>
      </w:pPr>
      <w:r>
        <w:rPr>
          <w:rFonts w:cs="Arial"/>
          <w:color w:val="000000"/>
          <w:szCs w:val="20"/>
        </w:rPr>
        <w:t>apresentar preços inexequíveis ou permanecerem acima do preço máximo definido para a contratação;</w:t>
      </w:r>
    </w:p>
    <w:p>
      <w:pPr>
        <w:pStyle w:val="ListParagraph"/>
        <w:numPr>
          <w:ilvl w:val="2"/>
          <w:numId w:val="1"/>
        </w:numPr>
        <w:spacing w:lineRule="auto" w:line="276" w:before="120" w:after="120"/>
        <w:jc w:val="both"/>
        <w:rPr>
          <w:rFonts w:cs="Arial"/>
          <w:i/>
          <w:i/>
          <w:color w:val="000000" w:themeColor="text1"/>
          <w:szCs w:val="20"/>
        </w:rPr>
      </w:pPr>
      <w:r>
        <w:rPr>
          <w:rFonts w:cs="Arial"/>
          <w:color w:val="000000"/>
          <w:szCs w:val="20"/>
        </w:rPr>
        <w:t>não tiverem sua exequibilidade demonstrada, quando exigido pela Administração</w:t>
      </w:r>
      <w:r>
        <w:rPr>
          <w:rFonts w:cs="Arial"/>
          <w:iCs/>
          <w:color w:val="000000" w:themeColor="text1"/>
          <w:szCs w:val="20"/>
        </w:rPr>
        <w:t>;</w:t>
      </w:r>
    </w:p>
    <w:p>
      <w:pPr>
        <w:pStyle w:val="ListParagraph"/>
        <w:numPr>
          <w:ilvl w:val="2"/>
          <w:numId w:val="1"/>
        </w:numPr>
        <w:spacing w:lineRule="auto" w:line="276" w:before="120" w:after="120"/>
        <w:jc w:val="both"/>
        <w:rPr>
          <w:rFonts w:cs="Arial"/>
          <w:i/>
          <w:i/>
          <w:color w:val="000000" w:themeColor="text1"/>
          <w:szCs w:val="20"/>
        </w:rPr>
      </w:pP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jc w:val="both"/>
        <w:rPr>
          <w:rFonts w:cs="Arial"/>
          <w:i/>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jc w:val="both"/>
        <w:rPr>
          <w:rFonts w:cs="Arial"/>
          <w:i/>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jc w:val="both"/>
        <w:rPr>
          <w:rFonts w:cs="Arial"/>
          <w:i/>
          <w:i/>
          <w:color w:val="FF0000"/>
          <w:szCs w:val="20"/>
          <w:lang w:eastAsia="en-US"/>
        </w:rPr>
      </w:pPr>
      <w:r>
        <w:rPr>
          <w:rFonts w:cs="Arial"/>
          <w:i/>
          <w:color w:val="FF0000"/>
          <w:szCs w:val="20"/>
          <w:lang w:eastAsia="en-US"/>
        </w:rPr>
      </w:r>
    </w:p>
    <w:p>
      <w:pPr>
        <w:pStyle w:val="ListParagraph"/>
        <w:numPr>
          <w:ilvl w:val="1"/>
          <w:numId w:val="1"/>
        </w:numPr>
        <w:spacing w:lineRule="auto" w:line="276" w:before="120" w:after="120"/>
        <w:ind w:left="792" w:right="-15" w:hanging="432"/>
        <w:jc w:val="both"/>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Encerrada a análise quanto à aceitação da proposta, se iniciará a fase de habilitação, observado o disposto neste Aviso de Contratação Direta. </w:t>
      </w:r>
    </w:p>
    <w:p>
      <w:pPr>
        <w:pStyle w:val="PADRO"/>
        <w:keepNext/>
        <w:widowControl/>
        <w:numPr>
          <w:ilvl w:val="0"/>
          <w:numId w:val="1"/>
        </w:numPr>
        <w:shd w:val="clear" w:color="auto" w:fill="auto"/>
        <w:spacing w:before="120" w:after="120"/>
        <w:rPr>
          <w:rFonts w:ascii="Arial" w:hAnsi="Arial" w:cs="Arial"/>
          <w:b/>
          <w:b/>
        </w:rPr>
      </w:pPr>
      <w:r>
        <w:rPr>
          <w:rFonts w:cs="Arial" w:ascii="Arial" w:hAnsi="Arial"/>
          <w:b/>
        </w:rPr>
        <w:t>HABILITAÇÃO</w:t>
      </w:r>
    </w:p>
    <w:p>
      <w:pPr>
        <w:pStyle w:val="ListParagraph"/>
        <w:numPr>
          <w:ilvl w:val="1"/>
          <w:numId w:val="1"/>
        </w:numPr>
        <w:spacing w:lineRule="auto" w:line="276" w:before="120" w:after="120"/>
        <w:ind w:left="792" w:hanging="574"/>
        <w:jc w:val="both"/>
        <w:rPr>
          <w:rFonts w:cs="Arial"/>
          <w:b/>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jc w:val="both"/>
        <w:rPr>
          <w:rFonts w:cs="Arial"/>
          <w:b/>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jc w:val="both"/>
        <w:rPr>
          <w:rFonts w:cs="Arial"/>
          <w:szCs w:val="20"/>
          <w:lang w:eastAsia="ar-SA"/>
        </w:rPr>
      </w:pPr>
      <w:r>
        <w:rPr>
          <w:rFonts w:cs="Arial"/>
          <w:szCs w:val="20"/>
          <w:lang w:eastAsia="ar-SA"/>
        </w:rPr>
        <w:t xml:space="preserve">a) SICAF;  </w:t>
      </w:r>
    </w:p>
    <w:p>
      <w:pPr>
        <w:pStyle w:val="ListParagraph"/>
        <w:spacing w:lineRule="auto" w:line="276" w:before="120" w:after="120"/>
        <w:ind w:left="1134" w:hanging="0"/>
        <w:jc w:val="both"/>
        <w:rPr/>
      </w:pPr>
      <w:r>
        <w:rPr>
          <w:rFonts w:cs="Arial"/>
          <w:szCs w:val="20"/>
          <w:lang w:eastAsia="ar-SA"/>
        </w:rPr>
        <w:t>b) Cadastro Nacional de Empresas Inidôneas e Suspensas - CEIS, mantido pela Controladoria-Geral da União (</w:t>
      </w:r>
      <w:hyperlink r:id="rId4">
        <w:r>
          <w:rPr>
            <w:rStyle w:val="LinkdaInternet"/>
            <w:rFonts w:eastAsia="Calibri" w:cs="Arial"/>
            <w:lang w:eastAsia="ar-SA"/>
          </w:rPr>
          <w:t>www.portaldatransparencia.gov.br/ceis</w:t>
        </w:r>
      </w:hyperlink>
      <w:r>
        <w:rPr>
          <w:rFonts w:cs="Arial"/>
          <w:szCs w:val="20"/>
          <w:lang w:eastAsia="ar-SA"/>
        </w:rPr>
        <w:t xml:space="preserve">);  </w:t>
      </w:r>
    </w:p>
    <w:p>
      <w:pPr>
        <w:pStyle w:val="ListParagraph"/>
        <w:spacing w:lineRule="auto" w:line="276" w:before="120" w:after="120"/>
        <w:ind w:left="1134" w:hanging="0"/>
        <w:jc w:val="both"/>
        <w:rPr/>
      </w:pPr>
      <w:r>
        <w:rPr>
          <w:rFonts w:cs="Arial"/>
          <w:szCs w:val="20"/>
          <w:lang w:eastAsia="ar-SA"/>
        </w:rPr>
        <w:t>c) Cadastro Nacional de Condenações Cíveis por Atos de Improbidade Administrativa, mantido pelo Conselho Nacional de Justiça (</w:t>
      </w:r>
      <w:hyperlink r:id="rId5">
        <w:r>
          <w:rPr>
            <w:rStyle w:val="LinkdaInternet"/>
            <w:rFonts w:eastAsia="Calibri" w:cs="Arial"/>
            <w:lang w:eastAsia="ar-SA"/>
          </w:rPr>
          <w:t>www.cnj.jus.br/improbidade_adm/consultar_requerido.php</w:t>
        </w:r>
      </w:hyperlink>
      <w:r>
        <w:rPr>
          <w:rFonts w:cs="Arial"/>
          <w:szCs w:val="20"/>
          <w:lang w:eastAsia="ar-SA"/>
        </w:rPr>
        <w:t xml:space="preserve">).  </w:t>
      </w:r>
    </w:p>
    <w:p>
      <w:pPr>
        <w:pStyle w:val="ListParagraph"/>
        <w:spacing w:lineRule="auto" w:line="276" w:before="120" w:after="120"/>
        <w:ind w:left="1134" w:hanging="0"/>
        <w:jc w:val="both"/>
        <w:rPr>
          <w:rFonts w:cs="Arial"/>
          <w:szCs w:val="20"/>
          <w:lang w:eastAsia="ar-SA"/>
        </w:rPr>
      </w:pPr>
      <w:r>
        <w:rPr>
          <w:rFonts w:cs="Arial"/>
          <w:szCs w:val="20"/>
          <w:lang w:eastAsia="ar-SA"/>
        </w:rPr>
        <w:t xml:space="preserve">d) Lista de Inidôneos mantida pelo Tribunal de Contas da União - TCU; </w:t>
      </w:r>
    </w:p>
    <w:p>
      <w:pPr>
        <w:pStyle w:val="ListParagraph"/>
        <w:numPr>
          <w:ilvl w:val="2"/>
          <w:numId w:val="1"/>
        </w:numPr>
        <w:spacing w:lineRule="auto" w:line="276" w:before="120" w:after="120"/>
        <w:jc w:val="both"/>
        <w:rPr>
          <w:rFonts w:cs="Arial"/>
          <w:b/>
          <w:b/>
          <w:szCs w:val="20"/>
        </w:rPr>
      </w:pPr>
      <w:r>
        <w:rPr>
          <w:rFonts w:cs="Arial"/>
          <w:szCs w:val="20"/>
          <w:lang w:eastAsia="ar-SA"/>
        </w:rPr>
        <w:t xml:space="preserve">Para a consulta de </w:t>
      </w:r>
      <w:r>
        <w:rPr>
          <w:rFonts w:cs="Arial"/>
          <w:color w:val="000000" w:themeColor="text1"/>
          <w:szCs w:val="20"/>
        </w:rPr>
        <w:t>fornecedores</w:t>
      </w:r>
      <w:r>
        <w:rPr>
          <w:rFonts w:cs="Arial"/>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jc w:val="both"/>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pPr>
        <w:pStyle w:val="ListParagraph"/>
        <w:numPr>
          <w:ilvl w:val="4"/>
          <w:numId w:val="1"/>
        </w:numPr>
        <w:spacing w:lineRule="auto" w:line="276" w:before="120" w:after="120"/>
        <w:jc w:val="both"/>
        <w:rPr>
          <w:rFonts w:cs="Arial"/>
          <w:szCs w:val="20"/>
        </w:rPr>
      </w:pPr>
      <w:r>
        <w:rPr>
          <w:rFonts w:cs="Arial"/>
          <w:color w:val="000000" w:themeColor="text1"/>
          <w:szCs w:val="20"/>
        </w:rPr>
        <w:t>O fornecedor será convocado para manifestação previamente à sua desclassificação</w:t>
      </w:r>
    </w:p>
    <w:p>
      <w:pPr>
        <w:pStyle w:val="ListParagraph"/>
        <w:numPr>
          <w:ilvl w:val="2"/>
          <w:numId w:val="1"/>
        </w:numPr>
        <w:spacing w:lineRule="auto" w:line="276" w:before="120" w:after="120"/>
        <w:jc w:val="both"/>
        <w:rPr>
          <w:rFonts w:cs="Arial"/>
          <w:szCs w:val="20"/>
        </w:rPr>
      </w:pPr>
      <w:r>
        <w:rPr>
          <w:rFonts w:cs="Arial"/>
          <w:color w:val="000000" w:themeColor="text1"/>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pPr>
        <w:pStyle w:val="ListParagraph"/>
        <w:numPr>
          <w:ilvl w:val="2"/>
          <w:numId w:val="1"/>
        </w:numPr>
        <w:spacing w:lineRule="auto" w:line="276" w:before="120" w:after="120"/>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jc w:val="both"/>
        <w:rPr>
          <w:rFonts w:cs="Arial"/>
          <w:color w:val="000000" w:themeColor="text1"/>
          <w:szCs w:val="20"/>
        </w:rPr>
      </w:pPr>
      <w:r>
        <w:rPr>
          <w:rFonts w:cs="Arial"/>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jc w:val="both"/>
        <w:rPr>
          <w:rFonts w:cs="Arial"/>
          <w:color w:val="000000" w:themeColor="text1"/>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jc w:val="both"/>
        <w:rPr>
          <w:rFonts w:cs="Arial"/>
          <w:b/>
          <w:b/>
          <w:bCs/>
          <w:szCs w:val="20"/>
        </w:rPr>
      </w:pPr>
      <w:r>
        <w:rPr>
          <w:rFonts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jc w:val="both"/>
        <w:rPr>
          <w:rFonts w:cs="Arial"/>
          <w:i/>
          <w:i/>
          <w:color w:val="FF0000"/>
          <w:szCs w:val="20"/>
        </w:rPr>
      </w:pPr>
      <w:r>
        <w:rPr>
          <w:rFonts w:cs="Arial"/>
          <w:i/>
          <w:color w:val="FF0000"/>
          <w:szCs w:val="20"/>
        </w:rPr>
      </w:r>
    </w:p>
    <w:p>
      <w:pPr>
        <w:pStyle w:val="ListParagraph"/>
        <w:numPr>
          <w:ilvl w:val="1"/>
          <w:numId w:val="1"/>
        </w:numPr>
        <w:spacing w:lineRule="auto" w:line="276" w:before="120" w:after="120"/>
        <w:ind w:left="792" w:hanging="574"/>
        <w:jc w:val="both"/>
        <w:rPr/>
      </w:pPr>
      <w:r>
        <w:rPr>
          <w:rFonts w:cs="Arial"/>
          <w:bCs/>
          <w:szCs w:val="20"/>
        </w:rPr>
        <w:t xml:space="preserve">Havendo </w:t>
      </w:r>
      <w:r>
        <w:rPr>
          <w:rFonts w:cs="Arial"/>
          <w:iCs/>
          <w:lang w:eastAsia="en-US"/>
        </w:rPr>
        <w:t>necessidade</w:t>
      </w:r>
      <w:r>
        <w:rPr>
          <w:rFonts w:cs="Arial"/>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jc w:val="both"/>
        <w:rPr>
          <w:rFonts w:cs="Arial"/>
          <w:iCs/>
          <w:lang w:eastAsia="en-US"/>
        </w:rPr>
      </w:pPr>
      <w:r>
        <w:rPr>
          <w:rFonts w:cs="Arial"/>
          <w:iCs/>
          <w:lang w:eastAsia="en-US"/>
        </w:rPr>
        <w:t>Constatado o atendimento às exigências de habilitação, o fornecedor será habilitado</w:t>
      </w:r>
    </w:p>
    <w:p>
      <w:pPr>
        <w:pStyle w:val="PADRO"/>
        <w:keepNext/>
        <w:widowControl/>
        <w:numPr>
          <w:ilvl w:val="0"/>
          <w:numId w:val="1"/>
        </w:numPr>
        <w:shd w:val="clear" w:color="auto" w:fill="auto"/>
        <w:spacing w:before="120" w:after="120"/>
        <w:rPr>
          <w:rFonts w:ascii="Arial" w:hAnsi="Arial" w:cs="Arial"/>
          <w:b/>
          <w:b/>
        </w:rPr>
      </w:pPr>
      <w:r>
        <w:rPr>
          <w:rFonts w:cs="Arial" w:ascii="Arial" w:hAnsi="Arial"/>
          <w:b/>
        </w:rPr>
        <w:t>CONTRATAÇÃO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pPr>
      <w:r>
        <w:rPr>
          <w:rFonts w:eastAsia="Arial" w:cs="Arial"/>
          <w:color w:val="000000"/>
          <w:szCs w:val="20"/>
        </w:rPr>
        <w:t xml:space="preserve">O adjudicatário terá o prazo de 10 </w:t>
      </w:r>
      <w:r>
        <w:rPr>
          <w:rFonts w:eastAsia="Arial" w:cs="Arial"/>
          <w:color w:val="1C1C1C"/>
          <w:szCs w:val="20"/>
        </w:rPr>
        <w:t>(dez) dias úteis</w:t>
      </w:r>
      <w:r>
        <w:rPr>
          <w:rFonts w:eastAsia="Arial" w:cs="Arial"/>
          <w:color w:val="1C1C1C"/>
          <w:szCs w:val="20"/>
        </w:rPr>
        <w:t xml:space="preserve">, contados a partir da data de sua convocação, para </w:t>
      </w:r>
      <w:r>
        <w:rPr>
          <w:rFonts w:eastAsia="Arial" w:cs="Arial"/>
          <w:color w:val="1C1C1C"/>
          <w:szCs w:val="20"/>
        </w:rPr>
        <w:t xml:space="preserve">assinar o Termo de Contrato ou aceitar instrumento equivalente, conforme o caso (Nota de Empenho/Carta Contrato/Autorização), </w:t>
      </w:r>
      <w:r>
        <w:rPr>
          <w:rFonts w:eastAsia="Arial" w:cs="Arial"/>
          <w:color w:val="000000"/>
          <w:szCs w:val="20"/>
        </w:rPr>
        <w:t xml:space="preserve">sob pena de decair do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i/>
          <w:i/>
          <w:color w:val="FF0000"/>
          <w:szCs w:val="20"/>
        </w:rPr>
      </w:pPr>
      <w:r>
        <w:rPr>
          <w:rFonts w:eastAsia="Arial" w:cs="Arial"/>
          <w:i/>
          <w:color w:val="FF0000"/>
          <w:szCs w:val="20"/>
        </w:rPr>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 xml:space="preserve">O prazo previsto para assinatura do contrato ou aceitação da nota de empenho ou instrumento equivalente poderá ser prorrogado </w:t>
      </w:r>
      <w:r>
        <w:rPr>
          <w:rFonts w:cs="Times New Roman"/>
          <w:bCs/>
        </w:rPr>
        <w:t>1 (uma) vez</w:t>
      </w:r>
      <w:r>
        <w:rPr>
          <w:rFonts w:eastAsia="Arial" w:cs="Arial"/>
          <w:szCs w:val="20"/>
        </w:rPr>
        <w:t xml:space="preserve">, </w:t>
      </w:r>
      <w:r>
        <w:rPr>
          <w:rFonts w:eastAsia="Arial" w:cs="Arial"/>
          <w:color w:val="000000"/>
          <w:szCs w:val="20"/>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eastAsia="Arial" w:cs="Arial"/>
          <w:i/>
          <w:i/>
          <w:color w:val="FF0000"/>
          <w:szCs w:val="20"/>
        </w:rPr>
      </w:pPr>
      <w:r>
        <w:rPr>
          <w:rFonts w:eastAsia="Arial" w:cs="Arial"/>
          <w:i/>
          <w:color w:val="1C1C1C"/>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i/>
          <w:i/>
          <w:color w:val="FF0000"/>
          <w:szCs w:val="20"/>
        </w:rPr>
      </w:pPr>
      <w:r>
        <w:rPr>
          <w:rFonts w:eastAsia="Arial" w:cs="Arial"/>
          <w:i/>
          <w:color w:val="1C1C1C"/>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i/>
          <w:i/>
          <w:color w:val="FF0000"/>
          <w:szCs w:val="20"/>
        </w:rPr>
      </w:pPr>
      <w:r>
        <w:rPr>
          <w:rFonts w:eastAsia="Arial" w:cs="Arial"/>
          <w:i/>
          <w:color w:val="1C1C1C"/>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i/>
          <w:i/>
          <w:color w:val="FF0000"/>
          <w:szCs w:val="20"/>
        </w:rPr>
      </w:pPr>
      <w:r>
        <w:rPr>
          <w:rFonts w:eastAsia="Arial" w:cs="Arial"/>
          <w:i/>
          <w:color w:val="1C1C1C"/>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pPr>
      <w:r>
        <w:rPr>
          <w:rFonts w:eastAsia="Arial" w:cs="Arial"/>
          <w:color w:val="000000"/>
          <w:szCs w:val="20"/>
        </w:rPr>
        <w:t>O prazo de vigência da contratação é de 6 (seis) meses</w:t>
      </w:r>
      <w:r>
        <w:rPr>
          <w:rFonts w:eastAsia="Arial" w:cs="Arial"/>
          <w:color w:val="FF0000"/>
          <w:szCs w:val="20"/>
        </w:rPr>
        <w:t xml:space="preserve"> </w:t>
      </w:r>
      <w:r>
        <w:rPr>
          <w:rFonts w:eastAsia="Arial" w:cs="Arial"/>
          <w:color w:val="000000"/>
          <w:szCs w:val="20"/>
        </w:rPr>
        <w:t xml:space="preserve">prorrogável conforme previsão nos anexos a este Aviso de Contratação Direta. </w:t>
      </w:r>
    </w:p>
    <w:p>
      <w:pPr>
        <w:pStyle w:val="Normal"/>
        <w:numPr>
          <w:ilvl w:val="1"/>
          <w:numId w:val="1"/>
        </w:numPr>
        <w:spacing w:lineRule="auto" w:line="276" w:before="120" w:after="120"/>
        <w:ind w:left="425" w:hanging="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PADRO"/>
        <w:keepNext/>
        <w:widowControl/>
        <w:numPr>
          <w:ilvl w:val="0"/>
          <w:numId w:val="1"/>
        </w:numPr>
        <w:shd w:val="clear" w:color="auto" w:fill="auto"/>
        <w:spacing w:before="120" w:after="120"/>
        <w:rPr/>
      </w:pPr>
      <w:r>
        <w:rPr>
          <w:rFonts w:cs="Arial" w:ascii="Arial" w:hAnsi="Arial"/>
          <w:b/>
        </w:rPr>
        <w:t>SANÇÕES</w:t>
      </w:r>
    </w:p>
    <w:p>
      <w:pPr>
        <w:pStyle w:val="Normal"/>
        <w:numPr>
          <w:ilvl w:val="1"/>
          <w:numId w:val="1"/>
        </w:numPr>
        <w:spacing w:lineRule="auto" w:line="276" w:before="120" w:after="120"/>
        <w:ind w:left="425" w:hanging="0"/>
        <w:jc w:val="both"/>
        <w:rPr>
          <w:rFonts w:cs="Arial"/>
          <w:b/>
          <w:b/>
        </w:rPr>
      </w:pPr>
      <w:r>
        <w:rPr>
          <w:rFonts w:cs="Arial"/>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rPr>
      </w:pPr>
      <w:r>
        <w:rPr>
          <w:rFonts w:cs="Arial"/>
          <w:color w:val="000000"/>
          <w:szCs w:val="20"/>
        </w:rPr>
        <w:t>dar causa à inexecução parcial do contrato</w:t>
      </w:r>
      <w:r>
        <w:rPr>
          <w:rFonts w:cs="Arial"/>
        </w:rPr>
        <w:t>;</w:t>
      </w:r>
    </w:p>
    <w:p>
      <w:pPr>
        <w:pStyle w:val="Normal"/>
        <w:numPr>
          <w:ilvl w:val="2"/>
          <w:numId w:val="1"/>
        </w:numPr>
        <w:spacing w:lineRule="auto" w:line="276" w:before="120" w:after="120"/>
        <w:jc w:val="both"/>
        <w:rPr>
          <w:rFonts w:cs="Arial"/>
        </w:rPr>
      </w:pPr>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rPr>
      </w:pPr>
      <w:r>
        <w:rPr>
          <w:rFonts w:cs="Arial"/>
          <w:color w:val="000000"/>
          <w:szCs w:val="20"/>
        </w:rPr>
        <w:t>dar causa à inexecução total do contrato;</w:t>
      </w:r>
    </w:p>
    <w:p>
      <w:pPr>
        <w:pStyle w:val="Normal"/>
        <w:numPr>
          <w:ilvl w:val="2"/>
          <w:numId w:val="1"/>
        </w:numPr>
        <w:spacing w:lineRule="auto" w:line="276" w:before="120" w:after="120"/>
        <w:jc w:val="both"/>
        <w:rPr>
          <w:rFonts w:cs="Arial"/>
        </w:rPr>
      </w:pP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rPr>
      </w:pP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rPr>
      </w:pPr>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rPr>
      </w:pP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comportar-se de modo inidôneo ou cometer fraude de qualquer natureza;</w:t>
      </w:r>
    </w:p>
    <w:p>
      <w:pPr>
        <w:pStyle w:val="ListParagraph"/>
        <w:numPr>
          <w:ilvl w:val="3"/>
          <w:numId w:val="1"/>
        </w:numPr>
        <w:spacing w:lineRule="auto" w:line="276" w:before="120" w:after="120"/>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pPr>
      <w:r>
        <w:rPr>
          <w:rFonts w:cs="Arial"/>
          <w:color w:val="000000"/>
          <w:szCs w:val="20"/>
        </w:rPr>
        <w:t>praticar ato lesivo previsto no </w:t>
      </w:r>
      <w:r>
        <w:fldChar w:fldCharType="begin"/>
      </w:r>
      <w:r>
        <w:instrText> HYPERLINK "http://www.planalto.gov.br/ccivil_03/_Ato2011-2014/2013/Lei/L12846.htm" \l "art5"</w:instrText>
      </w:r>
      <w:r>
        <w:fldChar w:fldCharType="separate"/>
      </w:r>
      <w:r>
        <w:rPr>
          <w:rStyle w:val="LinkdaInternet"/>
          <w:color w:val="000000"/>
        </w:rPr>
        <w:t>art. 5º da Lei nº 12.846, de 1º de agosto de 2013.</w:t>
      </w:r>
      <w:r>
        <w:fldChar w:fldCharType="end"/>
      </w:r>
    </w:p>
    <w:p>
      <w:pPr>
        <w:pStyle w:val="Normal"/>
        <w:numPr>
          <w:ilvl w:val="1"/>
          <w:numId w:val="1"/>
        </w:numPr>
        <w:spacing w:lineRule="auto" w:line="276" w:before="120" w:after="120"/>
        <w:ind w:left="425" w:hanging="0"/>
        <w:jc w:val="both"/>
        <w:rPr>
          <w:rFonts w:cs="Arial"/>
          <w:b/>
          <w:b/>
        </w:rPr>
      </w:pPr>
      <w:r>
        <w:rPr>
          <w:rFonts w:cs="Arial"/>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cs="Arial"/>
        </w:rPr>
      </w:pPr>
      <w:r>
        <w:rPr>
          <w:rFonts w:cs="Arial"/>
        </w:rPr>
        <w:t>Advertência pela falta do subitem 8.1.1 deste Aviso de Contratação Direta,</w:t>
      </w:r>
      <w:r>
        <w:rPr/>
        <w:t xml:space="preserve"> </w:t>
      </w:r>
      <w:r>
        <w:rPr>
          <w:rFonts w:cs="Arial"/>
        </w:rPr>
        <w:t>quando não se justificar a imposição de penalidade mais grave;</w:t>
      </w:r>
    </w:p>
    <w:p>
      <w:pPr>
        <w:pStyle w:val="Normal"/>
        <w:numPr>
          <w:ilvl w:val="2"/>
          <w:numId w:val="5"/>
        </w:numPr>
        <w:spacing w:lineRule="auto" w:line="276" w:before="120" w:after="120"/>
        <w:jc w:val="both"/>
        <w:rPr/>
      </w:pPr>
      <w:r>
        <w:rPr>
          <w:rFonts w:cs="Arial"/>
        </w:rPr>
        <w:t>Multa de 1</w:t>
      </w:r>
      <w:r>
        <w:rPr>
          <w:rFonts w:cs="Arial"/>
          <w:color w:val="1C1C1C"/>
        </w:rPr>
        <w:t>0</w:t>
      </w:r>
      <w:r>
        <w:rPr>
          <w:rFonts w:cs="Arial"/>
          <w:color w:val="1C1C1C"/>
        </w:rPr>
        <w:t xml:space="preserve">% (dez por cento) </w:t>
      </w:r>
      <w:r>
        <w:rPr>
          <w:rFonts w:cs="Arial"/>
        </w:rPr>
        <w:t>sobre o valor estimado do(s) item(s) prejudicado(s) pela conduta do fornecedor, por qualquer das infrações dos subitens 8.1.1 a 8.1.12;</w:t>
      </w:r>
    </w:p>
    <w:p>
      <w:pPr>
        <w:pStyle w:val="Normal"/>
        <w:numPr>
          <w:ilvl w:val="2"/>
          <w:numId w:val="5"/>
        </w:numPr>
        <w:spacing w:lineRule="auto" w:line="276" w:before="120" w:after="120"/>
        <w:jc w:val="both"/>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pPr>
        <w:pStyle w:val="Normal"/>
        <w:numPr>
          <w:ilvl w:val="2"/>
          <w:numId w:val="5"/>
        </w:numPr>
        <w:spacing w:lineRule="auto" w:line="276" w:before="120" w:after="120"/>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pPr>
        <w:pStyle w:val="Normal"/>
        <w:numPr>
          <w:ilvl w:val="1"/>
          <w:numId w:val="1"/>
        </w:numPr>
        <w:spacing w:lineRule="auto" w:line="276" w:before="120" w:after="120"/>
        <w:jc w:val="both"/>
        <w:rPr>
          <w:rFonts w:cs="Arial"/>
          <w:bCs/>
        </w:rPr>
      </w:pPr>
      <w:r>
        <w:rPr>
          <w:rFonts w:cs="Arial"/>
          <w:bCs/>
        </w:rPr>
        <w:t>Na aplicação das sanções serão considerados:</w:t>
      </w:r>
    </w:p>
    <w:p>
      <w:pPr>
        <w:pStyle w:val="Normal"/>
        <w:numPr>
          <w:ilvl w:val="2"/>
          <w:numId w:val="1"/>
        </w:numPr>
        <w:spacing w:lineRule="auto" w:line="276" w:before="120" w:after="120"/>
        <w:jc w:val="both"/>
        <w:rPr>
          <w:rFonts w:cs="Arial"/>
          <w:bCs/>
        </w:rPr>
      </w:pPr>
      <w:r>
        <w:rPr>
          <w:rFonts w:cs="Arial"/>
          <w:bCs/>
        </w:rPr>
        <w:t>a natureza e a gravidade da infração cometida;</w:t>
      </w:r>
    </w:p>
    <w:p>
      <w:pPr>
        <w:pStyle w:val="Normal"/>
        <w:numPr>
          <w:ilvl w:val="2"/>
          <w:numId w:val="1"/>
        </w:numPr>
        <w:spacing w:lineRule="auto" w:line="276" w:before="120" w:after="120"/>
        <w:jc w:val="both"/>
        <w:rPr>
          <w:rFonts w:cs="Arial"/>
          <w:bCs/>
        </w:rPr>
      </w:pPr>
      <w:r>
        <w:rPr>
          <w:rFonts w:cs="Arial"/>
          <w:bCs/>
        </w:rPr>
        <w:t>as peculiaridades do caso concreto;</w:t>
      </w:r>
    </w:p>
    <w:p>
      <w:pPr>
        <w:pStyle w:val="Normal"/>
        <w:numPr>
          <w:ilvl w:val="2"/>
          <w:numId w:val="1"/>
        </w:numPr>
        <w:spacing w:lineRule="auto" w:line="276" w:before="120" w:after="120"/>
        <w:jc w:val="both"/>
        <w:rPr>
          <w:rFonts w:cs="Arial"/>
          <w:bCs/>
        </w:rPr>
      </w:pPr>
      <w:r>
        <w:rPr>
          <w:rFonts w:cs="Arial"/>
          <w:bCs/>
        </w:rPr>
        <w:t>as circunstâncias agravantes ou atenuantes;</w:t>
      </w:r>
    </w:p>
    <w:p>
      <w:pPr>
        <w:pStyle w:val="Normal"/>
        <w:numPr>
          <w:ilvl w:val="2"/>
          <w:numId w:val="1"/>
        </w:numPr>
        <w:spacing w:lineRule="auto" w:line="276" w:before="120" w:after="120"/>
        <w:jc w:val="both"/>
        <w:rPr>
          <w:rFonts w:cs="Arial"/>
          <w:bCs/>
        </w:rPr>
      </w:pPr>
      <w:r>
        <w:rPr>
          <w:rFonts w:cs="Arial"/>
          <w:bCs/>
        </w:rPr>
        <w:t>os danos que dela provierem para a Administração Pública;</w:t>
      </w:r>
    </w:p>
    <w:p>
      <w:pPr>
        <w:pStyle w:val="Normal"/>
        <w:numPr>
          <w:ilvl w:val="2"/>
          <w:numId w:val="1"/>
        </w:numPr>
        <w:spacing w:lineRule="auto" w:line="276" w:before="120" w:after="120"/>
        <w:jc w:val="both"/>
        <w:rPr>
          <w:rFonts w:cs="Arial"/>
          <w:bCs/>
        </w:rPr>
      </w:pP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rPr>
      </w:pPr>
      <w:bookmarkStart w:id="2" w:name="art156§6"/>
      <w:bookmarkStart w:id="3" w:name="art156§7"/>
      <w:bookmarkStart w:id="4" w:name="art156§8"/>
      <w:bookmarkEnd w:id="2"/>
      <w:bookmarkEnd w:id="3"/>
      <w:bookmarkEnd w:id="4"/>
      <w:r>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rPr>
      </w:pPr>
      <w:bookmarkStart w:id="5" w:name="art156§9"/>
      <w:bookmarkEnd w:id="5"/>
      <w:r>
        <w:rPr>
          <w:rFonts w:cs="Arial"/>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rPr>
      </w:pPr>
      <w:r>
        <w:rPr>
          <w:rFonts w:cs="Arial"/>
        </w:rPr>
        <w:t>A penalidade de multa pode ser aplicada cumulativamente com as demais sanções.</w:t>
      </w:r>
    </w:p>
    <w:p>
      <w:pPr>
        <w:pStyle w:val="Normal"/>
        <w:numPr>
          <w:ilvl w:val="1"/>
          <w:numId w:val="1"/>
        </w:numPr>
        <w:spacing w:lineRule="auto" w:line="276" w:before="120" w:after="120"/>
        <w:ind w:left="425" w:hanging="0"/>
        <w:jc w:val="both"/>
        <w:rPr>
          <w:rFonts w:cs="Arial"/>
        </w:rPr>
      </w:pPr>
      <w:r>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rPr>
      </w:pPr>
      <w:r>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rPr>
      </w:pPr>
      <w:r>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rPr>
      </w:pPr>
      <w:r>
        <w:rPr>
          <w:rFonts w:cs="Arial"/>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cs="Arial"/>
        </w:rPr>
      </w:pPr>
      <w:r>
        <w:rPr>
          <w:rFonts w:cs="Arial"/>
        </w:rPr>
        <w:t>As sanções por atos praticados no decorrer da contratação estão previstas nos anexos a este Aviso.</w:t>
      </w:r>
    </w:p>
    <w:p>
      <w:pPr>
        <w:pStyle w:val="Normal"/>
        <w:spacing w:lineRule="auto" w:line="276" w:before="120" w:after="120"/>
        <w:ind w:left="425" w:hanging="0"/>
        <w:jc w:val="both"/>
        <w:rPr>
          <w:rFonts w:cs="Arial"/>
        </w:rPr>
      </w:pPr>
      <w:r>
        <w:rPr>
          <w:rFonts w:cs="Arial"/>
        </w:rPr>
      </w:r>
    </w:p>
    <w:p>
      <w:pPr>
        <w:pStyle w:val="PADRO"/>
        <w:keepNext/>
        <w:widowControl/>
        <w:numPr>
          <w:ilvl w:val="0"/>
          <w:numId w:val="1"/>
        </w:numPr>
        <w:shd w:val="clear" w:color="auto" w:fill="auto"/>
        <w:spacing w:before="120" w:after="120"/>
        <w:rPr>
          <w:rFonts w:ascii="Arial" w:hAnsi="Arial" w:cs="Arial"/>
          <w:b/>
          <w:b/>
        </w:rPr>
      </w:pPr>
      <w:r>
        <w:rPr>
          <w:rFonts w:cs="Arial" w:ascii="Arial" w:hAnsi="Arial"/>
          <w:b/>
        </w:rPr>
        <w:t>DAS DISPOSIÇÕES GERAIS</w:t>
      </w:r>
    </w:p>
    <w:p>
      <w:pPr>
        <w:pStyle w:val="Normal"/>
        <w:numPr>
          <w:ilvl w:val="1"/>
          <w:numId w:val="1"/>
        </w:numPr>
        <w:snapToGrid w:val="false"/>
        <w:spacing w:lineRule="auto" w:line="276" w:before="120" w:after="120"/>
        <w:ind w:left="425" w:hanging="0"/>
        <w:jc w:val="both"/>
        <w:rPr>
          <w:rFonts w:cs="Arial"/>
          <w:szCs w:val="20"/>
        </w:rPr>
      </w:pPr>
      <w:r>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color w:val="000000"/>
          <w:szCs w:val="20"/>
        </w:rPr>
        <w:t>republicar o presente aviso com uma nova data;</w:t>
      </w:r>
    </w:p>
    <w:p>
      <w:pPr>
        <w:pStyle w:val="Normal"/>
        <w:numPr>
          <w:ilvl w:val="2"/>
          <w:numId w:val="1"/>
        </w:numPr>
        <w:spacing w:lineRule="auto" w:line="276" w:before="120" w:after="120"/>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Cs w:val="20"/>
        </w:rPr>
      </w:pPr>
      <w:r>
        <w:rPr>
          <w:rFonts w:cs="Arial"/>
          <w:color w:val="000000"/>
          <w:szCs w:val="20"/>
        </w:rPr>
        <w:t>ANEXO I – Documentação exigida para Habilitação</w:t>
      </w:r>
    </w:p>
    <w:p>
      <w:pPr>
        <w:pStyle w:val="Normal"/>
        <w:numPr>
          <w:ilvl w:val="2"/>
          <w:numId w:val="1"/>
        </w:numPr>
        <w:spacing w:lineRule="auto" w:line="276" w:before="120" w:after="120"/>
        <w:jc w:val="both"/>
        <w:rPr/>
      </w:pPr>
      <w:r>
        <w:rPr>
          <w:rFonts w:cs="Arial"/>
          <w:color w:val="000000"/>
          <w:szCs w:val="20"/>
        </w:rPr>
        <w:t>ANEXO II – Termo de Referência;</w:t>
      </w:r>
    </w:p>
    <w:p>
      <w:pPr>
        <w:pStyle w:val="Normal"/>
        <w:numPr>
          <w:ilvl w:val="3"/>
          <w:numId w:val="1"/>
        </w:numPr>
        <w:spacing w:lineRule="auto" w:line="276" w:before="120" w:after="120"/>
        <w:jc w:val="both"/>
        <w:rPr>
          <w:color w:val="1C1C1C"/>
        </w:rPr>
      </w:pPr>
      <w:r>
        <w:rPr>
          <w:rFonts w:cs="Arial"/>
          <w:i/>
          <w:iCs/>
          <w:color w:val="1C1C1C"/>
          <w:szCs w:val="20"/>
        </w:rPr>
        <w:t>ANEXO III – Estudo Técnico Preliminar</w:t>
      </w:r>
    </w:p>
    <w:p>
      <w:pPr>
        <w:pStyle w:val="Normal"/>
        <w:numPr>
          <w:ilvl w:val="0"/>
          <w:numId w:val="0"/>
        </w:numPr>
        <w:spacing w:lineRule="auto" w:line="276" w:before="120" w:after="120"/>
        <w:ind w:left="1224" w:hanging="0"/>
        <w:jc w:val="both"/>
        <w:rPr>
          <w:rFonts w:cs="Arial"/>
          <w:i/>
          <w:i/>
          <w:iCs/>
          <w:color w:val="FF0000"/>
          <w:szCs w:val="20"/>
        </w:rPr>
      </w:pPr>
      <w:r>
        <w:rPr>
          <w:rFonts w:cs="Arial"/>
          <w:i/>
          <w:iCs/>
          <w:color w:val="FF0000"/>
          <w:szCs w:val="20"/>
        </w:rPr>
      </w:r>
    </w:p>
    <w:p>
      <w:pPr>
        <w:pStyle w:val="Normal"/>
        <w:spacing w:lineRule="auto" w:line="276" w:before="0" w:after="120"/>
        <w:ind w:left="360" w:right="-15" w:hanging="0"/>
        <w:jc w:val="center"/>
        <w:rPr>
          <w:rFonts w:cs="Arial"/>
          <w:color w:val="000000"/>
          <w:szCs w:val="20"/>
        </w:rPr>
      </w:pPr>
      <w:r>
        <w:rPr>
          <w:rFonts w:cs="Arial"/>
          <w:color w:val="000000"/>
          <w:szCs w:val="20"/>
        </w:rPr>
      </w:r>
    </w:p>
    <w:p>
      <w:pPr>
        <w:pStyle w:val="Normal"/>
        <w:spacing w:lineRule="auto" w:line="276" w:before="0" w:after="120"/>
        <w:ind w:left="360" w:right="-15" w:hanging="0"/>
        <w:jc w:val="center"/>
        <w:rPr/>
      </w:pPr>
      <w:r>
        <w:rPr>
          <w:rFonts w:cs="Arial"/>
          <w:color w:val="000000"/>
          <w:szCs w:val="20"/>
        </w:rPr>
        <w:t>Recife _____ de ___________ de 2023</w:t>
      </w:r>
    </w:p>
    <w:p>
      <w:pPr>
        <w:pStyle w:val="Normal"/>
        <w:spacing w:lineRule="auto" w:line="276" w:before="0" w:after="120"/>
        <w:ind w:left="360" w:right="-15" w:hanging="0"/>
        <w:jc w:val="center"/>
        <w:rPr>
          <w:rFonts w:cs="Arial"/>
          <w:color w:val="000000"/>
          <w:szCs w:val="20"/>
        </w:rPr>
      </w:pPr>
      <w:r>
        <w:rPr>
          <w:rFonts w:cs="Arial"/>
          <w:color w:val="000000"/>
          <w:szCs w:val="20"/>
        </w:rPr>
      </w:r>
    </w:p>
    <w:p>
      <w:pPr>
        <w:pStyle w:val="Normal"/>
        <w:spacing w:lineRule="auto" w:line="276" w:before="0" w:after="120"/>
        <w:ind w:left="360" w:right="-15" w:hanging="0"/>
        <w:jc w:val="center"/>
        <w:rPr>
          <w:rFonts w:cs="Arial"/>
          <w:color w:val="000000"/>
          <w:szCs w:val="20"/>
        </w:rPr>
      </w:pPr>
      <w:r>
        <w:rPr>
          <w:rFonts w:cs="Arial"/>
          <w:color w:val="000000"/>
          <w:szCs w:val="20"/>
        </w:rPr>
      </w:r>
    </w:p>
    <w:p>
      <w:pPr>
        <w:pStyle w:val="Normal"/>
        <w:spacing w:lineRule="auto" w:line="276" w:before="0" w:after="120"/>
        <w:ind w:left="360" w:right="-15" w:hanging="0"/>
        <w:jc w:val="center"/>
        <w:rPr>
          <w:rFonts w:cs="Arial"/>
          <w:color w:val="000000"/>
          <w:szCs w:val="20"/>
        </w:rPr>
      </w:pPr>
      <w:r>
        <w:rPr>
          <w:rFonts w:cs="Arial"/>
          <w:color w:val="000000"/>
          <w:szCs w:val="20"/>
        </w:rPr>
      </w:r>
    </w:p>
    <w:p>
      <w:pPr>
        <w:pStyle w:val="Normal"/>
        <w:spacing w:lineRule="auto" w:line="276" w:before="0" w:after="120"/>
        <w:ind w:left="360" w:right="-15" w:hanging="0"/>
        <w:jc w:val="center"/>
        <w:rPr/>
      </w:pPr>
      <w:r>
        <w:rPr>
          <w:rFonts w:cs="Arial"/>
          <w:color w:val="000000"/>
          <w:szCs w:val="20"/>
        </w:rPr>
        <w:t>ANTONIO MARCOS SANTOS MORAES – Ten Cel</w:t>
      </w:r>
    </w:p>
    <w:p>
      <w:pPr>
        <w:pStyle w:val="Normal"/>
        <w:spacing w:lineRule="auto" w:line="276"/>
        <w:jc w:val="center"/>
        <w:rPr/>
      </w:pPr>
      <w:r>
        <w:rPr>
          <w:rFonts w:cs="Arial"/>
          <w:b/>
          <w:bCs/>
          <w:iCs/>
          <w:color w:val="000000"/>
          <w:szCs w:val="20"/>
        </w:rPr>
        <w:t>Ordenador de Despesas do CPOR/R</w:t>
      </w:r>
    </w:p>
    <w:p>
      <w:pPr>
        <w:pStyle w:val="Normal"/>
        <w:jc w:val="center"/>
        <w:rPr>
          <w:rFonts w:cs="Arial"/>
          <w:lang w:eastAsia="en-US"/>
        </w:rPr>
      </w:pPr>
      <w:r>
        <w:rPr>
          <w:rFonts w:cs="Arial"/>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pPr>
      <w:r>
        <w:rPr>
          <w:rFonts w:cs="Arial"/>
          <w:b/>
          <w:bCs/>
          <w:lang w:eastAsia="en-US"/>
        </w:rPr>
        <w:t>ANEXO I – DOCUMENTAÇÃO EXIGIDA PARA HABILITAÇÃO</w:t>
      </w:r>
    </w:p>
    <w:p>
      <w:pPr>
        <w:pStyle w:val="Normal"/>
        <w:rPr>
          <w:rFonts w:cs="Arial"/>
          <w:lang w:eastAsia="en-US"/>
        </w:rPr>
      </w:pPr>
      <w:r>
        <w:rPr>
          <w:rFonts w:cs="Arial"/>
          <w:lang w:eastAsia="en-US"/>
        </w:rPr>
      </w:r>
    </w:p>
    <w:p>
      <w:pPr>
        <w:pStyle w:val="PADRO"/>
        <w:keepNext/>
        <w:widowControl/>
        <w:numPr>
          <w:ilvl w:val="0"/>
          <w:numId w:val="3"/>
        </w:numPr>
        <w:shd w:val="clear" w:fill="FFFFFF"/>
        <w:spacing w:before="120" w:after="120"/>
        <w:rPr/>
      </w:pPr>
      <w:r>
        <w:rPr>
          <w:rFonts w:cs="Arial" w:ascii="Arial" w:hAnsi="Arial"/>
          <w:b/>
          <w:bCs/>
          <w:color w:val="000000"/>
          <w:szCs w:val="20"/>
        </w:rPr>
        <w:t xml:space="preserve">Habilitação jurídica: </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rPr>
        <w:t>no caso de empresário individual, inscrição no Registro Público de Empresas Mercantis, a cargo da Junta Comercial da respectiva sede;</w:t>
      </w:r>
    </w:p>
    <w:p>
      <w:pPr>
        <w:pStyle w:val="ListParagraph"/>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inscrição no Registro Público de Empresas Mercantis onde opera, com averbação no Registro onde tem sede a matriz, no caso de ser o participante sucursal, filial ou agência;</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color w:val="000000"/>
          <w:szCs w:val="20"/>
        </w:rPr>
        <w:t>No caso de sociedade simples: inscrição do ato constitutivo no Registro Civil das Pessoas Jurídicas do local de sua sede, acompanhada de prova da indicação dos seus administradores;</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decreto de autorização, em se tratando de sociedade empresária estrangeira em funcionamento no País;</w:t>
      </w:r>
    </w:p>
    <w:p>
      <w:pPr>
        <w:pStyle w:val="ListParagraph"/>
        <w:numPr>
          <w:ilvl w:val="1"/>
          <w:numId w:val="3"/>
        </w:numPr>
        <w:spacing w:lineRule="auto" w:line="276" w:before="120" w:after="120"/>
        <w:jc w:val="both"/>
        <w:rPr/>
      </w:pPr>
      <w:r>
        <w:rPr>
          <w:rFonts w:cs="Arial"/>
          <w:bCs/>
          <w:color w:val="000000"/>
          <w:szCs w:val="20"/>
        </w:rPr>
        <w:t>Os documentos acima deverão estar acompanhados de todas as alterações ou da consolidação respectiva.</w:t>
      </w:r>
    </w:p>
    <w:p>
      <w:pPr>
        <w:pStyle w:val="ListParagraph"/>
        <w:spacing w:lineRule="auto" w:line="276" w:before="120" w:after="120"/>
        <w:ind w:left="1134" w:hanging="0"/>
        <w:jc w:val="both"/>
        <w:rPr>
          <w:rFonts w:cs="Arial"/>
          <w:bCs/>
          <w:color w:val="000000"/>
          <w:szCs w:val="20"/>
        </w:rPr>
      </w:pPr>
      <w:r>
        <w:rPr>
          <w:rFonts w:cs="Arial"/>
          <w:bCs/>
          <w:color w:val="000000"/>
          <w:szCs w:val="20"/>
        </w:rPr>
      </w:r>
    </w:p>
    <w:p>
      <w:pPr>
        <w:pStyle w:val="PADRO"/>
        <w:keepNext/>
        <w:widowControl/>
        <w:numPr>
          <w:ilvl w:val="0"/>
          <w:numId w:val="3"/>
        </w:numPr>
        <w:shd w:val="clear" w:fill="FFFFFF"/>
        <w:spacing w:before="120" w:after="120"/>
        <w:rPr>
          <w:rFonts w:ascii="Arial" w:hAnsi="Arial" w:cs="Arial"/>
          <w:szCs w:val="20"/>
        </w:rPr>
      </w:pPr>
      <w:r>
        <w:rPr>
          <w:rFonts w:cs="Arial" w:ascii="Arial" w:hAnsi="Arial"/>
          <w:b/>
          <w:bCs/>
          <w:color w:val="000000"/>
          <w:szCs w:val="20"/>
        </w:rPr>
        <w:t xml:space="preserve"> </w:t>
      </w:r>
      <w:r>
        <w:rPr>
          <w:rFonts w:cs="Arial" w:ascii="Arial" w:hAnsi="Arial"/>
          <w:b/>
          <w:bCs/>
          <w:color w:val="000000"/>
          <w:szCs w:val="20"/>
        </w:rPr>
        <w:t>Regularidade fiscal, social e trabalhista:</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lang w:eastAsia="en-US"/>
        </w:rPr>
        <w:t>prova de inscrição no Cadastro Nacional de Pessoas Jurídicas ou no Cadastro de Pessoas Físicas, conforme o caso;</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lang w:eastAsia="en-US"/>
        </w:rPr>
        <w:t>prova de regularidade com o Fundo de Garantia do Tempo de Serviço (FGTS);</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left" w:pos="1440" w:leader="none"/>
        </w:tabs>
        <w:snapToGrid w:val="false"/>
        <w:spacing w:lineRule="auto" w:line="276" w:before="120" w:after="120"/>
        <w:jc w:val="both"/>
        <w:rPr>
          <w:rFonts w:cs="Arial"/>
          <w:bCs/>
          <w:szCs w:val="20"/>
        </w:rPr>
      </w:pPr>
      <w:r>
        <w:rPr>
          <w:rFonts w:cs="Arial"/>
          <w:bCs/>
          <w:szCs w:val="20"/>
        </w:rPr>
        <w:t xml:space="preserve">prova de </w:t>
      </w:r>
      <w:r>
        <w:rPr>
          <w:rFonts w:cs="Arial"/>
          <w:color w:val="000000"/>
          <w:szCs w:val="20"/>
        </w:rPr>
        <w:t>inscrição no cadastro de contribuint</w:t>
      </w:r>
      <w:r>
        <w:rPr>
          <w:rFonts w:cs="Arial"/>
          <w:color w:val="1C1C1C"/>
          <w:szCs w:val="20"/>
        </w:rPr>
        <w:t xml:space="preserve">es </w:t>
      </w:r>
      <w:r>
        <w:rPr>
          <w:rFonts w:cs="Arial"/>
          <w:i/>
          <w:iCs/>
          <w:color w:val="1C1C1C"/>
          <w:szCs w:val="20"/>
        </w:rPr>
        <w:t>estadual e/ou municipal</w:t>
      </w:r>
      <w:r>
        <w:rPr>
          <w:rFonts w:cs="Arial"/>
          <w:color w:val="1C1C1C"/>
          <w:szCs w:val="20"/>
        </w:rPr>
        <w:t>, r</w:t>
      </w:r>
      <w:r>
        <w:rPr>
          <w:rFonts w:cs="Arial"/>
          <w:color w:val="000000"/>
          <w:szCs w:val="20"/>
        </w:rPr>
        <w:t>elativo ao domicílio ou sede do fornecedor, pertinente ao seu ramo de atividade e compatível com o objeto contratual</w:t>
      </w:r>
      <w:r>
        <w:rPr>
          <w:rFonts w:cs="Arial"/>
          <w:bCs/>
          <w:szCs w:val="20"/>
        </w:rPr>
        <w:t xml:space="preserve">; </w:t>
      </w:r>
    </w:p>
    <w:p>
      <w:pPr>
        <w:pStyle w:val="Normal"/>
        <w:numPr>
          <w:ilvl w:val="1"/>
          <w:numId w:val="3"/>
        </w:numPr>
        <w:tabs>
          <w:tab w:val="left" w:pos="1440" w:leader="none"/>
        </w:tabs>
        <w:snapToGrid w:val="false"/>
        <w:spacing w:lineRule="auto" w:line="276" w:before="120" w:after="120"/>
        <w:jc w:val="both"/>
        <w:rPr>
          <w:rFonts w:cs="Arial"/>
          <w:b/>
          <w:b/>
          <w:szCs w:val="20"/>
        </w:rPr>
      </w:pPr>
      <w:r>
        <w:rPr>
          <w:rFonts w:cs="Arial"/>
          <w:szCs w:val="20"/>
        </w:rPr>
        <w:t>prova de regularidade com a Fazen</w:t>
      </w:r>
      <w:r>
        <w:rPr>
          <w:rFonts w:cs="Arial"/>
          <w:color w:val="1C1C1C"/>
          <w:szCs w:val="20"/>
        </w:rPr>
        <w:t xml:space="preserve">da </w:t>
      </w:r>
      <w:r>
        <w:rPr>
          <w:rFonts w:cs="Arial"/>
          <w:i/>
          <w:iCs/>
          <w:color w:val="1C1C1C"/>
          <w:szCs w:val="20"/>
        </w:rPr>
        <w:t>Estadual e/ou Municipal</w:t>
      </w:r>
      <w:r>
        <w:rPr>
          <w:rFonts w:cs="Arial"/>
          <w:color w:val="1C1C1C"/>
          <w:szCs w:val="20"/>
        </w:rPr>
        <w:t xml:space="preserve"> do</w:t>
      </w:r>
      <w:r>
        <w:rPr>
          <w:rFonts w:cs="Arial"/>
          <w:szCs w:val="20"/>
        </w:rPr>
        <w:t xml:space="preserve"> domicílio ou sede do fornecedor, relativa à atividade em cujo exercício contrata ou concorre; </w:t>
      </w:r>
    </w:p>
    <w:p>
      <w:pPr>
        <w:pStyle w:val="Normal"/>
        <w:numPr>
          <w:ilvl w:val="1"/>
          <w:numId w:val="3"/>
        </w:numPr>
        <w:tabs>
          <w:tab w:val="left" w:pos="1440" w:leader="none"/>
        </w:tabs>
        <w:snapToGrid w:val="false"/>
        <w:spacing w:lineRule="auto" w:line="276" w:before="120" w:after="120"/>
        <w:jc w:val="both"/>
        <w:rPr/>
      </w:pPr>
      <w:r>
        <w:rPr>
          <w:rFonts w:cs="Arial"/>
          <w:szCs w:val="20"/>
        </w:rPr>
        <w:t>caso o fornecedor seja considerado isento dos tribu</w:t>
      </w:r>
      <w:r>
        <w:rPr>
          <w:rFonts w:cs="Arial"/>
          <w:color w:val="1C1C1C"/>
          <w:szCs w:val="20"/>
        </w:rPr>
        <w:t xml:space="preserve">tos </w:t>
      </w:r>
      <w:r>
        <w:rPr>
          <w:rFonts w:cs="Arial"/>
          <w:i/>
          <w:color w:val="1C1C1C"/>
          <w:szCs w:val="20"/>
        </w:rPr>
        <w:t xml:space="preserve">estaduais </w:t>
      </w:r>
      <w:r>
        <w:rPr>
          <w:rFonts w:cs="Arial"/>
          <w:b/>
          <w:i/>
          <w:color w:val="1C1C1C"/>
          <w:szCs w:val="20"/>
          <w:u w:val="single"/>
        </w:rPr>
        <w:t>ou</w:t>
      </w:r>
      <w:r>
        <w:rPr>
          <w:rFonts w:cs="Arial"/>
          <w:i/>
          <w:color w:val="1C1C1C"/>
          <w:szCs w:val="20"/>
        </w:rPr>
        <w:t xml:space="preserve"> municipais</w:t>
      </w:r>
      <w:r>
        <w:rPr>
          <w:rFonts w:cs="Arial"/>
          <w:color w:val="FF0000"/>
          <w:szCs w:val="20"/>
        </w:rPr>
        <w:t xml:space="preserve"> </w:t>
      </w:r>
      <w:r>
        <w:rPr>
          <w:rFonts w:cs="Arial"/>
          <w:szCs w:val="20"/>
        </w:rPr>
        <w:t xml:space="preserve">relacionados ao objeto contratual, deverá comprovar tal condição mediante a apresentação de declaração da Fazenda respectiva do seu domicílio ou sede, ou outra equivalente, na forma da lei; </w:t>
      </w:r>
    </w:p>
    <w:p>
      <w:pPr>
        <w:pStyle w:val="PADRO"/>
        <w:keepNext/>
        <w:widowControl/>
        <w:numPr>
          <w:ilvl w:val="0"/>
          <w:numId w:val="3"/>
        </w:numPr>
        <w:shd w:val="clear" w:fill="FFFFFF"/>
        <w:spacing w:before="120" w:after="120"/>
        <w:rPr>
          <w:rFonts w:ascii="Arial" w:hAnsi="Arial" w:cs="Arial"/>
          <w:szCs w:val="20"/>
        </w:rPr>
      </w:pPr>
      <w:r>
        <w:rPr>
          <w:rFonts w:cs="Arial" w:ascii="Arial" w:hAnsi="Arial"/>
          <w:b/>
          <w:color w:val="000000"/>
          <w:szCs w:val="20"/>
        </w:rPr>
        <w:t>Qualificação Econômico-Financeira:</w:t>
      </w:r>
      <w:r>
        <w:rPr>
          <w:rFonts w:cs="Arial" w:ascii="Arial" w:hAnsi="Arial"/>
          <w:b/>
          <w:bCs/>
          <w:iCs/>
          <w:color w:val="000000"/>
          <w:szCs w:val="20"/>
        </w:rPr>
        <w:t xml:space="preserve"> </w:t>
      </w:r>
    </w:p>
    <w:p>
      <w:pPr>
        <w:pStyle w:val="ListParagraph"/>
        <w:numPr>
          <w:ilvl w:val="1"/>
          <w:numId w:val="3"/>
        </w:numPr>
        <w:tabs>
          <w:tab w:val="left" w:pos="1440" w:leader="none"/>
        </w:tabs>
        <w:snapToGrid w:val="false"/>
        <w:spacing w:lineRule="auto" w:line="276" w:before="120" w:after="120"/>
        <w:jc w:val="both"/>
        <w:rPr/>
      </w:pPr>
      <w:r>
        <w:rPr>
          <w:rFonts w:cs="Arial"/>
          <w:color w:val="000000"/>
          <w:szCs w:val="20"/>
        </w:rPr>
        <w:t>certidão negativa de falência expedida pelo distribuidor da sede do fornecedor;</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balanço patrimonial, demonstração de resultado de exercício e demais demonstrações contábeis dos 2 (dois) últimos exercícios sociais;</w:t>
      </w:r>
    </w:p>
    <w:p>
      <w:pPr>
        <w:pStyle w:val="Normal"/>
        <w:numPr>
          <w:ilvl w:val="2"/>
          <w:numId w:val="3"/>
        </w:numPr>
        <w:spacing w:lineRule="auto" w:line="276" w:before="120" w:after="120"/>
        <w:jc w:val="both"/>
        <w:rPr>
          <w:rFonts w:cs="Arial"/>
          <w:color w:val="000000"/>
          <w:szCs w:val="20"/>
        </w:rPr>
      </w:pPr>
      <w:r>
        <w:rPr>
          <w:rFonts w:cs="Arial"/>
          <w:color w:val="000000"/>
          <w:szCs w:val="20"/>
        </w:rPr>
        <w:t>As empresas criadas no exercício financeiro da dispensa deverão atender a todas as exigências da habilitação e poderão substituir os demonstrativos contábeis pelo balanço de abertura.</w:t>
      </w:r>
    </w:p>
    <w:p>
      <w:pPr>
        <w:pStyle w:val="Normal"/>
        <w:numPr>
          <w:ilvl w:val="2"/>
          <w:numId w:val="3"/>
        </w:numPr>
        <w:spacing w:lineRule="auto" w:line="276" w:before="120" w:after="120"/>
        <w:jc w:val="both"/>
        <w:rPr>
          <w:rFonts w:cs="Arial"/>
          <w:color w:val="000000"/>
          <w:szCs w:val="20"/>
        </w:rPr>
      </w:pPr>
      <w:r>
        <w:rPr>
          <w:rFonts w:cs="Arial"/>
          <w:color w:val="000000"/>
          <w:szCs w:val="20"/>
        </w:rPr>
        <w:t>Os documentos referidos acima limitar-se-ão ao último exercício no caso de a pessoa jurídica ter sido constituída há menos de 2 (dois) anos.</w:t>
      </w:r>
    </w:p>
    <w:p>
      <w:pPr>
        <w:pStyle w:val="Normal"/>
        <w:numPr>
          <w:ilvl w:val="1"/>
          <w:numId w:val="3"/>
        </w:numPr>
        <w:tabs>
          <w:tab w:val="left" w:pos="1440" w:leader="none"/>
        </w:tabs>
        <w:snapToGrid w:val="false"/>
        <w:spacing w:lineRule="auto" w:line="276" w:before="120" w:after="120"/>
        <w:jc w:val="both"/>
        <w:rPr/>
      </w:pPr>
      <w:r>
        <w:rPr>
          <w:rFonts w:cs="Arial"/>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6487" w:type="dxa"/>
        <w:jc w:val="left"/>
        <w:tblInd w:w="1132" w:type="dxa"/>
        <w:tblCellMar>
          <w:top w:w="0" w:type="dxa"/>
          <w:left w:w="133" w:type="dxa"/>
          <w:bottom w:w="0" w:type="dxa"/>
          <w:right w:w="108" w:type="dxa"/>
        </w:tblCellMar>
        <w:tblLook w:firstRow="1" w:noVBand="1" w:lastRow="0" w:firstColumn="1" w:lastColumn="0" w:noHBand="0" w:val="04a0"/>
      </w:tblPr>
      <w:tblGrid>
        <w:gridCol w:w="2234"/>
        <w:gridCol w:w="4252"/>
      </w:tblGrid>
      <w:tr>
        <w:trPr/>
        <w:tc>
          <w:tcPr>
            <w:tcW w:w="2234" w:type="dxa"/>
            <w:vMerge w:val="restart"/>
            <w:tcBorders>
              <w:top w:val="nil"/>
              <w:left w:val="nil"/>
              <w:bottom w:val="nil"/>
              <w:right w:val="nil"/>
              <w:insideH w:val="nil"/>
              <w:insideV w:val="nil"/>
            </w:tcBorders>
            <w:shd w:fill="auto" w:val="clear"/>
            <w:vAlign w:val="cente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LG =</w:t>
            </w:r>
          </w:p>
        </w:tc>
        <w:tc>
          <w:tcPr>
            <w:tcW w:w="4252" w:type="dxa"/>
            <w:tcBorders>
              <w:top w:val="nil"/>
              <w:left w:val="nil"/>
              <w:right w:val="nil"/>
              <w:insideV w:val="nil"/>
            </w:tcBorders>
            <w:shd w:fill="auto" w:val="clear"/>
            <w:vAlign w:val="bottom"/>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Ativo Circulante + Realizável a Longo Prazo</w:t>
            </w:r>
          </w:p>
        </w:tc>
      </w:tr>
      <w:tr>
        <w:trPr/>
        <w:tc>
          <w:tcPr>
            <w:tcW w:w="2234" w:type="dxa"/>
            <w:vMerge w:val="continue"/>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4252" w:type="dxa"/>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Passivo Circulante + Passivo Não Circulante</w:t>
            </w:r>
          </w:p>
        </w:tc>
      </w:tr>
    </w:tbl>
    <w:p>
      <w:pPr>
        <w:pStyle w:val="Normal"/>
        <w:tabs>
          <w:tab w:val="left" w:pos="1440" w:leader="none"/>
        </w:tabs>
        <w:snapToGrid w:val="false"/>
        <w:spacing w:lineRule="auto" w:line="276"/>
        <w:ind w:left="1134" w:hanging="0"/>
        <w:jc w:val="both"/>
        <w:rPr>
          <w:rFonts w:cs="Arial"/>
          <w:color w:val="000000"/>
          <w:szCs w:val="20"/>
        </w:rPr>
      </w:pPr>
      <w:r>
        <w:rPr>
          <w:rFonts w:cs="Arial"/>
          <w:color w:val="000000"/>
          <w:szCs w:val="20"/>
        </w:rPr>
      </w:r>
    </w:p>
    <w:tbl>
      <w:tblPr>
        <w:tblStyle w:val="Tabelacomgrade"/>
        <w:tblW w:w="6629" w:type="dxa"/>
        <w:jc w:val="left"/>
        <w:tblInd w:w="1132" w:type="dxa"/>
        <w:tblCellMar>
          <w:top w:w="0" w:type="dxa"/>
          <w:left w:w="133" w:type="dxa"/>
          <w:bottom w:w="0" w:type="dxa"/>
          <w:right w:w="108" w:type="dxa"/>
        </w:tblCellMar>
        <w:tblLook w:firstRow="1" w:noVBand="1" w:lastRow="0" w:firstColumn="1" w:lastColumn="0" w:noHBand="0" w:val="04a0"/>
      </w:tblPr>
      <w:tblGrid>
        <w:gridCol w:w="2234"/>
        <w:gridCol w:w="4394"/>
      </w:tblGrid>
      <w:tr>
        <w:trPr>
          <w:cantSplit w:val="true"/>
        </w:trPr>
        <w:tc>
          <w:tcPr>
            <w:tcW w:w="2234" w:type="dxa"/>
            <w:vMerge w:val="restart"/>
            <w:tcBorders>
              <w:top w:val="nil"/>
              <w:left w:val="nil"/>
              <w:bottom w:val="nil"/>
              <w:right w:val="nil"/>
              <w:insideH w:val="nil"/>
              <w:insideV w:val="nil"/>
            </w:tcBorders>
            <w:shd w:fill="auto" w:val="clear"/>
            <w:vAlign w:val="cente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SG =</w:t>
            </w:r>
          </w:p>
        </w:tc>
        <w:tc>
          <w:tcPr>
            <w:tcW w:w="4394" w:type="dxa"/>
            <w:tcBorders>
              <w:top w:val="nil"/>
              <w:left w:val="nil"/>
              <w:right w:val="nil"/>
              <w:insideV w:val="nil"/>
            </w:tcBorders>
            <w:shd w:fill="auto" w:val="clear"/>
            <w:vAlign w:val="bottom"/>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Ativo Total</w:t>
            </w:r>
          </w:p>
        </w:tc>
      </w:tr>
      <w:tr>
        <w:trPr>
          <w:cantSplit w:val="true"/>
        </w:trPr>
        <w:tc>
          <w:tcPr>
            <w:tcW w:w="2234" w:type="dxa"/>
            <w:vMerge w:val="continue"/>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4394" w:type="dxa"/>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Passivo Circulante + Passivo Não Circulante</w:t>
            </w:r>
          </w:p>
        </w:tc>
      </w:tr>
    </w:tbl>
    <w:p>
      <w:pPr>
        <w:pStyle w:val="Normal"/>
        <w:tabs>
          <w:tab w:val="left" w:pos="1440" w:leader="none"/>
        </w:tabs>
        <w:snapToGrid w:val="false"/>
        <w:spacing w:lineRule="auto" w:line="276"/>
        <w:ind w:left="1134" w:hanging="0"/>
        <w:jc w:val="both"/>
        <w:rPr>
          <w:rFonts w:cs="Arial"/>
          <w:color w:val="000000"/>
          <w:szCs w:val="20"/>
        </w:rPr>
      </w:pPr>
      <w:r>
        <w:rPr>
          <w:rFonts w:cs="Arial"/>
          <w:color w:val="000000"/>
          <w:szCs w:val="20"/>
        </w:rPr>
      </w:r>
    </w:p>
    <w:tbl>
      <w:tblPr>
        <w:tblStyle w:val="Tabelacomgrade"/>
        <w:tblW w:w="4786" w:type="dxa"/>
        <w:jc w:val="left"/>
        <w:tblInd w:w="1132" w:type="dxa"/>
        <w:tblCellMar>
          <w:top w:w="0" w:type="dxa"/>
          <w:left w:w="133" w:type="dxa"/>
          <w:bottom w:w="0" w:type="dxa"/>
          <w:right w:w="108" w:type="dxa"/>
        </w:tblCellMar>
        <w:tblLook w:firstRow="1" w:noVBand="1" w:lastRow="0" w:firstColumn="1" w:lastColumn="0" w:noHBand="0" w:val="04a0"/>
      </w:tblPr>
      <w:tblGrid>
        <w:gridCol w:w="2235"/>
        <w:gridCol w:w="2550"/>
      </w:tblGrid>
      <w:tr>
        <w:trPr/>
        <w:tc>
          <w:tcPr>
            <w:tcW w:w="2235" w:type="dxa"/>
            <w:vMerge w:val="restart"/>
            <w:tcBorders>
              <w:top w:val="nil"/>
              <w:left w:val="nil"/>
              <w:bottom w:val="nil"/>
              <w:right w:val="nil"/>
              <w:insideH w:val="nil"/>
              <w:insideV w:val="nil"/>
            </w:tcBorders>
            <w:shd w:fill="auto" w:val="clear"/>
            <w:vAlign w:val="cente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LC =</w:t>
            </w:r>
          </w:p>
        </w:tc>
        <w:tc>
          <w:tcPr>
            <w:tcW w:w="2550" w:type="dxa"/>
            <w:tcBorders>
              <w:top w:val="nil"/>
              <w:left w:val="nil"/>
              <w:right w:val="nil"/>
              <w:insideV w:val="nil"/>
            </w:tcBorders>
            <w:shd w:fill="auto" w:val="clear"/>
            <w:vAlign w:val="bottom"/>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Ativo Circulante</w:t>
            </w:r>
          </w:p>
        </w:tc>
      </w:tr>
      <w:tr>
        <w:trPr/>
        <w:tc>
          <w:tcPr>
            <w:tcW w:w="2235" w:type="dxa"/>
            <w:vMerge w:val="continue"/>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2550" w:type="dxa"/>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Passivo Circulante</w:t>
            </w:r>
          </w:p>
        </w:tc>
      </w:tr>
    </w:tbl>
    <w:p>
      <w:pPr>
        <w:pStyle w:val="Normal"/>
        <w:numPr>
          <w:ilvl w:val="2"/>
          <w:numId w:val="3"/>
        </w:numPr>
        <w:tabs>
          <w:tab w:val="left" w:pos="1440" w:leader="none"/>
        </w:tabs>
        <w:snapToGrid w:val="false"/>
        <w:spacing w:lineRule="auto" w:line="276" w:before="120" w:after="120"/>
        <w:jc w:val="both"/>
        <w:rPr/>
      </w:pPr>
      <w:r>
        <w:rPr>
          <w:rFonts w:cs="Arial"/>
          <w:color w:val="000000"/>
          <w:szCs w:val="20"/>
        </w:rPr>
        <w:t>As empresas, que apresentarem resultado inferior ou igual a 1(um) em qualquer dos índices de Liquidez Geral (LG), Solvência Geral (SG) e Liquidez Corrente (LC), deverão comprovar capital ou patrimônio líquido mínimo d</w:t>
      </w:r>
      <w:r>
        <w:rPr>
          <w:rFonts w:cs="Arial"/>
          <w:color w:val="1C1C1C"/>
          <w:szCs w:val="20"/>
        </w:rPr>
        <w:t>e</w:t>
      </w:r>
      <w:r>
        <w:rPr>
          <w:rFonts w:cs="Arial"/>
          <w:i/>
          <w:iCs/>
          <w:color w:val="1C1C1C"/>
          <w:szCs w:val="20"/>
        </w:rPr>
        <w:t xml:space="preserve"> 10%(DEZ) </w:t>
      </w:r>
      <w:r>
        <w:rPr>
          <w:rFonts w:cs="Arial"/>
          <w:color w:val="1C1C1C"/>
          <w:szCs w:val="20"/>
        </w:rPr>
        <w:t xml:space="preserve">do valor total estimado da contratação ou do item pertinente. </w:t>
      </w:r>
    </w:p>
    <w:p>
      <w:pPr>
        <w:pStyle w:val="Normal"/>
        <w:numPr>
          <w:ilvl w:val="2"/>
          <w:numId w:val="3"/>
        </w:numPr>
        <w:tabs>
          <w:tab w:val="left" w:pos="1440" w:leader="none"/>
        </w:tabs>
        <w:snapToGrid w:val="false"/>
        <w:spacing w:lineRule="auto" w:line="276" w:before="120" w:after="120"/>
        <w:jc w:val="both"/>
        <w:rPr>
          <w:color w:val="1C1C1C"/>
        </w:rPr>
      </w:pPr>
      <w:r>
        <w:rPr>
          <w:rFonts w:cs="Arial"/>
          <w:i/>
          <w:iCs/>
          <w:color w:val="1C1C1C"/>
          <w:lang w:eastAsia="en-US"/>
        </w:rPr>
        <w:t>O atendimento dos índices econômicos previstos neste item deverá ser atestado mediante declaração assinada por profissional habilitado da área contábil, apresentada pelo fornecedor.</w:t>
      </w:r>
    </w:p>
    <w:p>
      <w:pPr>
        <w:pStyle w:val="PADRO"/>
        <w:keepNext/>
        <w:widowControl/>
        <w:numPr>
          <w:ilvl w:val="0"/>
          <w:numId w:val="3"/>
        </w:numPr>
        <w:shd w:val="clear" w:fill="FFFFFF"/>
        <w:spacing w:before="120" w:after="120"/>
        <w:rPr/>
      </w:pPr>
      <w:r>
        <w:rPr>
          <w:rFonts w:cs="Arial" w:ascii="Arial" w:hAnsi="Arial"/>
          <w:b/>
          <w:color w:val="000000"/>
          <w:szCs w:val="20"/>
        </w:rPr>
        <w:t>Qualificação</w:t>
      </w:r>
      <w:r>
        <w:rPr>
          <w:rFonts w:cs="Arial" w:ascii="Arial" w:hAnsi="Arial"/>
          <w:b/>
        </w:rPr>
        <w:t xml:space="preserve"> Técnica</w:t>
      </w:r>
    </w:p>
    <w:p>
      <w:pPr>
        <w:pStyle w:val="PADRO"/>
        <w:keepNext/>
        <w:widowControl/>
        <w:numPr>
          <w:ilvl w:val="1"/>
          <w:numId w:val="3"/>
        </w:numPr>
        <w:shd w:val="clear" w:fill="FFFFFF"/>
        <w:spacing w:before="120" w:after="120"/>
        <w:rPr/>
      </w:pPr>
      <w:r>
        <w:rPr>
          <w:rFonts w:cs="Arial" w:ascii="Arial" w:hAnsi="Arial"/>
          <w:i/>
          <w:iCs/>
          <w:color w:val="1C1C1C"/>
        </w:rPr>
        <w:t xml:space="preserve">Registro ou inscrição </w:t>
      </w:r>
      <w:r>
        <w:rPr>
          <w:rFonts w:cs="Arial" w:ascii="Arial" w:hAnsi="Arial"/>
          <w:i/>
          <w:iCs/>
          <w:color w:val="1C1C1C"/>
          <w:szCs w:val="20"/>
        </w:rPr>
        <w:t>da</w:t>
      </w:r>
      <w:r>
        <w:rPr>
          <w:rFonts w:cs="Arial" w:ascii="Arial" w:hAnsi="Arial"/>
          <w:i/>
          <w:iCs/>
          <w:color w:val="1C1C1C"/>
        </w:rPr>
        <w:t xml:space="preserve"> empresa na entidade profissional </w:t>
      </w:r>
      <w:r>
        <w:rPr>
          <w:rFonts w:cs="Arial" w:ascii="Arial" w:hAnsi="Arial"/>
          <w:i/>
          <w:iCs/>
          <w:color w:val="1C1C1C"/>
          <w:szCs w:val="20"/>
        </w:rPr>
        <w:t>.........(escrever por extenso, se o caso)</w:t>
      </w:r>
      <w:r>
        <w:rPr>
          <w:rFonts w:cs="Arial" w:ascii="Arial" w:hAnsi="Arial"/>
          <w:i/>
          <w:iCs/>
          <w:color w:val="1C1C1C"/>
        </w:rPr>
        <w:t>, em plena validade</w:t>
      </w:r>
      <w:r>
        <w:rPr>
          <w:rFonts w:cs="Arial" w:ascii="Arial" w:hAnsi="Arial"/>
          <w:i/>
          <w:iCs/>
          <w:color w:val="FF0000"/>
        </w:rPr>
        <w:t>;</w:t>
      </w:r>
    </w:p>
    <w:p>
      <w:pPr>
        <w:pStyle w:val="PADRO"/>
        <w:keepNext/>
        <w:widowControl/>
        <w:numPr>
          <w:ilvl w:val="1"/>
          <w:numId w:val="3"/>
        </w:numPr>
        <w:shd w:val="clear" w:fill="FFFFFF"/>
        <w:spacing w:before="120" w:after="120"/>
        <w:rPr/>
      </w:pPr>
      <w:bookmarkStart w:id="6" w:name="_Hlk519176340"/>
      <w:bookmarkEnd w:id="6"/>
      <w:r>
        <w:rPr>
          <w:rFonts w:cs="Arial" w:ascii="Arial" w:hAnsi="Arial"/>
          <w:color w:val="000000"/>
          <w:szCs w:val="20"/>
        </w:rPr>
        <w:t xml:space="preserve">Comprovação de aptidão para a prestação dos serviços em características, quantidades e prazos </w:t>
      </w:r>
      <w:r>
        <w:rPr>
          <w:rFonts w:cs="Arial" w:ascii="Arial" w:hAnsi="Arial"/>
          <w:szCs w:val="20"/>
        </w:rPr>
        <w:t>compatíveis</w:t>
      </w:r>
      <w:r>
        <w:rPr>
          <w:rFonts w:cs="Arial" w:ascii="Arial" w:hAnsi="Arial"/>
          <w:color w:val="000000"/>
          <w:szCs w:val="20"/>
        </w:rPr>
        <w:t xml:space="preserve"> com o objeto desta dispensa, ou com o item pertinente, mediante a apresentação de atestado(s) fornecido(s) por pessoas jurídicas de direito público ou privado. </w:t>
      </w:r>
    </w:p>
    <w:p>
      <w:pPr>
        <w:pStyle w:val="PADRO"/>
        <w:keepNext/>
        <w:widowControl/>
        <w:numPr>
          <w:ilvl w:val="2"/>
          <w:numId w:val="3"/>
        </w:numPr>
        <w:shd w:val="clear" w:fill="FFFFFF"/>
        <w:spacing w:before="120" w:after="120"/>
        <w:rPr>
          <w:rFonts w:ascii="Arial" w:hAnsi="Arial" w:cs="Arial"/>
          <w:bCs/>
          <w:color w:val="000000"/>
          <w:szCs w:val="20"/>
        </w:rPr>
      </w:pPr>
      <w:r>
        <w:rPr>
          <w:rFonts w:cs="Arial" w:ascii="Arial" w:hAnsi="Arial"/>
          <w:color w:val="000000"/>
          <w:szCs w:val="20"/>
        </w:rPr>
        <w:t>Para fins da comprovação de que trata este subitem, os atestados deverão dizer respeito a contratos executados com as seguintes características mínimas:</w:t>
      </w:r>
    </w:p>
    <w:p>
      <w:pPr>
        <w:pStyle w:val="PADRO"/>
        <w:keepNext/>
        <w:widowControl/>
        <w:numPr>
          <w:ilvl w:val="3"/>
          <w:numId w:val="3"/>
        </w:numPr>
        <w:shd w:val="clear" w:fill="FFFFFF"/>
        <w:spacing w:before="120" w:after="120"/>
        <w:rPr>
          <w:rFonts w:ascii="Arial" w:hAnsi="Arial" w:cs="Arial"/>
          <w:color w:val="FF0000"/>
          <w:szCs w:val="20"/>
        </w:rPr>
      </w:pPr>
      <w:r>
        <w:rPr>
          <w:rFonts w:cs="Arial" w:ascii="Arial" w:hAnsi="Arial"/>
          <w:color w:val="1C1C1C"/>
          <w:szCs w:val="20"/>
        </w:rPr>
        <w:t xml:space="preserve">Deverá haver a comprovação da experiência mínima de..... anos na prestação dos serviços, sendo aceito o somatório de atestados de períodos diferentes, não </w:t>
      </w:r>
      <w:r>
        <w:rPr>
          <w:rFonts w:cs="Arial" w:ascii="Arial" w:hAnsi="Arial"/>
          <w:color w:val="1C1C1C"/>
        </w:rPr>
        <w:t>havendo</w:t>
      </w:r>
      <w:r>
        <w:rPr>
          <w:rFonts w:cs="Arial" w:ascii="Arial" w:hAnsi="Arial"/>
          <w:color w:val="1C1C1C"/>
          <w:szCs w:val="20"/>
        </w:rPr>
        <w:t xml:space="preserve"> obrigatoriedade de os ......  anos serem ininterruptos.</w:t>
      </w:r>
    </w:p>
    <w:p>
      <w:pPr>
        <w:pStyle w:val="PADRO"/>
        <w:keepNext/>
        <w:widowControl/>
        <w:numPr>
          <w:ilvl w:val="3"/>
          <w:numId w:val="3"/>
        </w:numPr>
        <w:shd w:val="clear" w:fill="FFFFFF"/>
        <w:spacing w:before="120" w:after="120"/>
        <w:rPr>
          <w:rFonts w:ascii="Arial" w:hAnsi="Arial" w:cs="Arial"/>
          <w:color w:val="FF0000"/>
          <w:szCs w:val="20"/>
        </w:rPr>
      </w:pPr>
      <w:r>
        <w:rPr>
          <w:rFonts w:cs="Arial" w:ascii="Arial" w:hAnsi="Arial"/>
          <w:color w:val="FF0000"/>
          <w:szCs w:val="20"/>
        </w:rPr>
        <w:t>....</w:t>
      </w:r>
    </w:p>
    <w:p>
      <w:pPr>
        <w:pStyle w:val="PADRO"/>
        <w:keepNext/>
        <w:widowControl/>
        <w:numPr>
          <w:ilvl w:val="3"/>
          <w:numId w:val="3"/>
        </w:numPr>
        <w:shd w:val="clear" w:fill="FFFFFF"/>
        <w:spacing w:before="120" w:after="120"/>
        <w:rPr>
          <w:rFonts w:ascii="Arial" w:hAnsi="Arial" w:cs="Arial"/>
          <w:color w:val="FF0000"/>
          <w:szCs w:val="20"/>
        </w:rPr>
      </w:pPr>
      <w:r>
        <w:rPr>
          <w:rFonts w:cs="Arial" w:ascii="Arial" w:hAnsi="Arial"/>
          <w:color w:val="FF0000"/>
          <w:szCs w:val="20"/>
        </w:rPr>
        <w:t>....</w:t>
      </w:r>
    </w:p>
    <w:p>
      <w:pPr>
        <w:pStyle w:val="PADRO"/>
        <w:keepNext/>
        <w:widowControl/>
        <w:numPr>
          <w:ilvl w:val="3"/>
          <w:numId w:val="3"/>
        </w:numPr>
        <w:shd w:val="clear" w:fill="FFFFFF"/>
        <w:spacing w:before="120" w:after="120"/>
        <w:rPr>
          <w:rFonts w:ascii="Arial" w:hAnsi="Arial" w:cs="Arial"/>
          <w:color w:val="FF0000"/>
          <w:szCs w:val="20"/>
        </w:rPr>
      </w:pPr>
      <w:r>
        <w:rPr>
          <w:rFonts w:cs="Arial" w:ascii="Arial" w:hAnsi="Arial"/>
          <w:color w:val="FF0000"/>
          <w:szCs w:val="20"/>
        </w:rPr>
        <w:t>...</w:t>
      </w:r>
    </w:p>
    <w:p>
      <w:pPr>
        <w:pStyle w:val="Normal"/>
        <w:tabs>
          <w:tab w:val="left" w:pos="1440" w:leader="none"/>
        </w:tabs>
        <w:snapToGrid w:val="false"/>
        <w:spacing w:lineRule="auto" w:line="276" w:before="120" w:after="120"/>
        <w:jc w:val="both"/>
        <w:rPr>
          <w:rFonts w:cs="Arial"/>
          <w:color w:val="000000"/>
          <w:szCs w:val="20"/>
        </w:rPr>
      </w:pPr>
      <w:r>
        <w:rPr>
          <w:rFonts w:cs="Arial"/>
          <w:color w:val="000000"/>
          <w:szCs w:val="20"/>
        </w:rPr>
      </w:r>
    </w:p>
    <w:p>
      <w:pPr>
        <w:pStyle w:val="PADRO"/>
        <w:keepNext/>
        <w:widowControl/>
        <w:numPr>
          <w:ilvl w:val="3"/>
          <w:numId w:val="3"/>
        </w:numPr>
        <w:shd w:val="clear" w:fill="FFFFFF"/>
        <w:spacing w:before="120" w:after="120"/>
        <w:rPr/>
      </w:pPr>
      <w:bookmarkStart w:id="7" w:name="_Hlk519177818"/>
      <w:bookmarkStart w:id="8" w:name="_Hlk5191763401"/>
      <w:bookmarkEnd w:id="7"/>
      <w:bookmarkEnd w:id="8"/>
      <w:r>
        <w:rPr>
          <w:rFonts w:cs="Arial" w:ascii="Arial" w:hAnsi="Arial"/>
          <w:color w:val="000000"/>
          <w:szCs w:val="20"/>
        </w:rPr>
        <w:t xml:space="preserve">Os atestados deverão referir-se a serviços prestados no âmbito de sua atividade econômica principal ou secundária especificadas no contrato social vigente; </w:t>
      </w:r>
    </w:p>
    <w:p>
      <w:pPr>
        <w:pStyle w:val="PADRO"/>
        <w:keepNext/>
        <w:widowControl/>
        <w:numPr>
          <w:ilvl w:val="3"/>
          <w:numId w:val="3"/>
        </w:numPr>
        <w:shd w:val="clear" w:fill="FFFFFF"/>
        <w:spacing w:before="120" w:after="120"/>
        <w:rPr>
          <w:rFonts w:ascii="Arial" w:hAnsi="Arial" w:cs="Arial"/>
          <w:i/>
          <w:i/>
          <w:color w:val="FF0000"/>
          <w:szCs w:val="20"/>
        </w:rPr>
      </w:pPr>
      <w:bookmarkStart w:id="9" w:name="_Hlk519177062"/>
      <w:bookmarkEnd w:id="9"/>
      <w:r>
        <w:rPr>
          <w:rFonts w:cs="Arial" w:ascii="Arial" w:hAnsi="Arial"/>
          <w:i/>
          <w:color w:val="1C1C1C"/>
          <w:szCs w:val="20"/>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p>
    <w:p>
      <w:pPr>
        <w:pStyle w:val="PADRO"/>
        <w:keepNext/>
        <w:widowControl/>
        <w:numPr>
          <w:ilvl w:val="3"/>
          <w:numId w:val="3"/>
        </w:numPr>
        <w:shd w:val="clear" w:fill="FFFFFF"/>
        <w:spacing w:before="120" w:after="120"/>
        <w:rPr>
          <w:rFonts w:ascii="Arial" w:hAnsi="Arial" w:cs="Arial"/>
          <w:i/>
          <w:i/>
          <w:strike/>
          <w:color w:val="FF0000"/>
          <w:szCs w:val="20"/>
        </w:rPr>
      </w:pPr>
      <w:r>
        <w:rPr>
          <w:rFonts w:cs="Arial" w:ascii="Arial" w:hAnsi="Arial"/>
          <w:color w:val="000000"/>
          <w:szCs w:val="20"/>
        </w:rPr>
        <w:t>O fornecedor disponibilizará todas as informações necessárias à comprovação da legitimidade dos atestados, apresentando, dentre outros documentos, cópia do contrato que deu suporte à contratação, endereço atual da contratante e local em que foram prestados os serviços.</w:t>
      </w:r>
    </w:p>
    <w:sectPr>
      <w:footerReference w:type="default" r:id="rId6"/>
      <w:type w:val="nextPage"/>
      <w:pgSz w:w="11906" w:h="16838"/>
      <w:pgMar w:left="1701" w:right="1701" w:header="0" w:top="1417" w:footer="708" w:bottom="1417"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Times">
    <w:altName w:val="Times New Roman"/>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pPr>
    <w:r>
      <w:rPr>
        <w:sz w:val="12"/>
        <w:szCs w:val="12"/>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Fonts w:ascii="Arial" w:hAnsi="Arial"/>
      </w:rPr>
    </w:lvl>
    <w:lvl w:ilvl="1">
      <w:start w:val="1"/>
      <w:numFmt w:val="decimal"/>
      <w:lvlText w:val="%1.%2."/>
      <w:lvlJc w:val="left"/>
      <w:pPr>
        <w:ind w:left="792" w:hanging="432"/>
      </w:pPr>
      <w:rPr>
        <w:i w:val="false"/>
        <w:b/>
        <w:iCs/>
      </w:rPr>
    </w:lvl>
    <w:lvl w:ilvl="2">
      <w:start w:val="1"/>
      <w:numFmt w:val="decimal"/>
      <w:lvlText w:val="%1.%2.%3."/>
      <w:lvlJc w:val="left"/>
      <w:pPr>
        <w:ind w:left="1224" w:hanging="504"/>
      </w:pPr>
      <w:rPr>
        <w:i w:val="false"/>
        <w:b/>
        <w:iCs/>
        <w:rFonts w:cs="Arial"/>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lvl w:ilvl="0">
      <w:start w:val="1"/>
      <w:numFmt w:val="decimal"/>
      <w:lvlText w:val="%1"/>
      <w:lvlJc w:val="left"/>
      <w:pPr>
        <w:ind w:left="360" w:hanging="360"/>
      </w:pPr>
    </w:lvl>
    <w:lvl w:ilvl="1">
      <w:start w:val="1"/>
      <w:numFmt w:val="decimal"/>
      <w:lvlText w:val="%1.%2"/>
      <w:lvlJc w:val="left"/>
      <w:pPr>
        <w:ind w:left="927" w:hanging="360"/>
      </w:pPr>
      <w:rPr>
        <w:b/>
        <w:rFonts w:ascii="Arial" w:hAnsi="Arial"/>
      </w:rPr>
    </w:lvl>
    <w:lvl w:ilvl="2">
      <w:start w:val="1"/>
      <w:numFmt w:val="decimal"/>
      <w:lvlText w:val="%1.%2.%3"/>
      <w:lvlJc w:val="left"/>
      <w:pPr>
        <w:ind w:left="1854" w:hanging="720"/>
      </w:pPr>
      <w:rPr>
        <w:b/>
        <w:rFonts w:ascii="Arial" w:hAnsi="Arial"/>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decimal"/>
      <w:lvlText w:val="%1.%2.%3."/>
      <w:lvlJc w:val="left"/>
      <w:pPr>
        <w:ind w:left="1224" w:hanging="504"/>
      </w:pPr>
      <w:rPr>
        <w:i w:val="false"/>
        <w:b w:val="false"/>
        <w:iCs/>
        <w:rFonts w:cs="Arial"/>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lowerLetter"/>
      <w:lvlText w:val="%3)"/>
      <w:lvlJc w:val="left"/>
      <w:pPr>
        <w:ind w:left="1224" w:hanging="504"/>
      </w:pPr>
      <w:rPr>
        <w:i w:val="false"/>
        <w:b w:val="false"/>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bidi w:val="0"/>
      <w:spacing w:lineRule="auto" w:line="240" w:before="0" w:after="0"/>
      <w:jc w:val="left"/>
    </w:pPr>
    <w:rPr>
      <w:rFonts w:ascii="Arial" w:hAnsi="Arial" w:eastAsia="Times New Roman" w:cs="Tahoma"/>
      <w:color w:val="00000A"/>
      <w:sz w:val="20"/>
      <w:szCs w:val="24"/>
      <w:lang w:val="pt-BR" w:eastAsia="pt-BR" w:bidi="ar-SA"/>
    </w:rPr>
  </w:style>
  <w:style w:type="paragraph" w:styleId="Ttulo1">
    <w:name w:val="Heading 1"/>
    <w:basedOn w:val="Normal"/>
    <w:next w:val="Normal"/>
    <w:link w:val="Ttulo1Char"/>
    <w:uiPriority w:val="9"/>
    <w:qFormat/>
    <w:rsid w:val="009f7713"/>
    <w:pPr>
      <w:keepNext/>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Citao"/>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link w:val="Ttulo1"/>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link w:val="citao2"/>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Textodecomentrio"/>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ssuntodocomentrio"/>
    <w:uiPriority w:val="99"/>
    <w:semiHidden/>
    <w:qFormat/>
    <w:rsid w:val="003d08af"/>
    <w:rPr>
      <w:rFonts w:ascii="Arial" w:hAnsi="Arial" w:eastAsia="Times New Roman" w:cs="Tahoma"/>
      <w:b/>
      <w:bCs/>
      <w:sz w:val="20"/>
      <w:szCs w:val="20"/>
      <w:lang w:eastAsia="pt-BR"/>
    </w:rPr>
  </w:style>
  <w:style w:type="character" w:styleId="LinkdaInternet">
    <w:name w:val="Link da Internet"/>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Textodebalo"/>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link w:val="Cabealho"/>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link w:val="Rodap"/>
    <w:uiPriority w:val="99"/>
    <w:qFormat/>
    <w:rsid w:val="00805244"/>
    <w:rPr>
      <w:rFonts w:ascii="Arial" w:hAnsi="Arial" w:eastAsia="Times New Roman" w:cs="Tahoma"/>
      <w:sz w:val="20"/>
      <w:szCs w:val="24"/>
      <w:lang w:eastAsia="pt-BR"/>
    </w:rPr>
  </w:style>
  <w:style w:type="character" w:styleId="ListLabel1">
    <w:name w:val="ListLabel 1"/>
    <w:qFormat/>
    <w:rPr>
      <w:rFonts w:ascii="Arial" w:hAnsi="Arial"/>
      <w:b/>
    </w:rPr>
  </w:style>
  <w:style w:type="character" w:styleId="ListLabel2">
    <w:name w:val="ListLabel 2"/>
    <w:qFormat/>
    <w:rPr>
      <w:rFonts w:ascii="Arial" w:hAnsi="Arial"/>
      <w:b/>
      <w:i w:val="false"/>
      <w:iCs/>
    </w:rPr>
  </w:style>
  <w:style w:type="character" w:styleId="ListLabel3">
    <w:name w:val="ListLabel 3"/>
    <w:qFormat/>
    <w:rPr>
      <w:rFonts w:ascii="Arial" w:hAnsi="Arial" w:cs="Arial"/>
      <w:b/>
      <w:i w:val="false"/>
      <w:iCs/>
      <w:color w:val="00000A"/>
    </w:rPr>
  </w:style>
  <w:style w:type="character" w:styleId="ListLabel4">
    <w:name w:val="ListLabel 4"/>
    <w:qFormat/>
    <w:rPr>
      <w:rFonts w:cs="Arial"/>
    </w:rPr>
  </w:style>
  <w:style w:type="character" w:styleId="ListLabel5">
    <w:name w:val="ListLabel 5"/>
    <w:qFormat/>
    <w:rPr>
      <w:color w:val="00000A"/>
    </w:rPr>
  </w:style>
  <w:style w:type="character" w:styleId="ListLabel6">
    <w:name w:val="ListLabel 6"/>
    <w:qFormat/>
    <w:rPr>
      <w:color w:val="00000A"/>
    </w:rPr>
  </w:style>
  <w:style w:type="character" w:styleId="ListLabel7">
    <w:name w:val="ListLabel 7"/>
    <w:qFormat/>
    <w:rPr>
      <w:color w:val="00000A"/>
    </w:rPr>
  </w:style>
  <w:style w:type="character" w:styleId="ListLabel8">
    <w:name w:val="ListLabel 8"/>
    <w:qFormat/>
    <w:rPr>
      <w:color w:val="00000A"/>
    </w:rPr>
  </w:style>
  <w:style w:type="character" w:styleId="ListLabel9">
    <w:name w:val="ListLabel 9"/>
    <w:qFormat/>
    <w:rPr>
      <w:color w:val="00000A"/>
    </w:rPr>
  </w:style>
  <w:style w:type="character" w:styleId="ListLabel10">
    <w:name w:val="ListLabel 10"/>
    <w:qFormat/>
    <w:rPr>
      <w:color w:val="00000A"/>
    </w:rPr>
  </w:style>
  <w:style w:type="character" w:styleId="ListLabel11">
    <w:name w:val="ListLabel 11"/>
    <w:qFormat/>
    <w:rPr>
      <w:color w:val="00000A"/>
    </w:rPr>
  </w:style>
  <w:style w:type="character" w:styleId="ListLabel12">
    <w:name w:val="ListLabel 12"/>
    <w:qFormat/>
    <w:rPr>
      <w:color w:val="00000A"/>
    </w:rPr>
  </w:style>
  <w:style w:type="character" w:styleId="ListLabel13">
    <w:name w:val="ListLabel 13"/>
    <w:qFormat/>
    <w:rPr>
      <w:color w:val="00000A"/>
    </w:rPr>
  </w:style>
  <w:style w:type="character" w:styleId="ListLabel14">
    <w:name w:val="ListLabel 14"/>
    <w:qFormat/>
    <w:rPr>
      <w:b/>
    </w:rPr>
  </w:style>
  <w:style w:type="character" w:styleId="ListLabel15">
    <w:name w:val="ListLabel 15"/>
    <w:qFormat/>
    <w:rPr>
      <w:b w:val="false"/>
      <w:i w:val="false"/>
      <w:iCs/>
    </w:rPr>
  </w:style>
  <w:style w:type="character" w:styleId="ListLabel16">
    <w:name w:val="ListLabel 16"/>
    <w:qFormat/>
    <w:rPr>
      <w:rFonts w:cs="Arial"/>
      <w:b w:val="false"/>
      <w:i w:val="false"/>
      <w:iCs/>
      <w:color w:val="00000A"/>
    </w:rPr>
  </w:style>
  <w:style w:type="character" w:styleId="ListLabel17">
    <w:name w:val="ListLabel 17"/>
    <w:qFormat/>
    <w:rPr>
      <w:i w:val="false"/>
      <w:color w:val="000000"/>
    </w:rPr>
  </w:style>
  <w:style w:type="character" w:styleId="ListLabel18">
    <w:name w:val="ListLabel 18"/>
    <w:qFormat/>
    <w:rPr>
      <w:i w:val="false"/>
      <w:color w:val="000000"/>
    </w:rPr>
  </w:style>
  <w:style w:type="character" w:styleId="ListLabel19">
    <w:name w:val="ListLabel 19"/>
    <w:qFormat/>
    <w:rPr>
      <w:i w:val="false"/>
      <w:color w:val="000000"/>
    </w:rPr>
  </w:style>
  <w:style w:type="character" w:styleId="ListLabel20">
    <w:name w:val="ListLabel 20"/>
    <w:qFormat/>
    <w:rPr>
      <w:i w:val="false"/>
      <w:color w:val="000000"/>
    </w:rPr>
  </w:style>
  <w:style w:type="character" w:styleId="ListLabel21">
    <w:name w:val="ListLabel 21"/>
    <w:qFormat/>
    <w:rPr>
      <w:i w:val="false"/>
      <w:color w:val="000000"/>
    </w:rPr>
  </w:style>
  <w:style w:type="character" w:styleId="ListLabel22">
    <w:name w:val="ListLabel 22"/>
    <w:qFormat/>
    <w:rPr>
      <w:i w:val="false"/>
      <w:color w:val="000000"/>
    </w:rPr>
  </w:style>
  <w:style w:type="character" w:styleId="ListLabel23">
    <w:name w:val="ListLabel 23"/>
    <w:qFormat/>
    <w:rPr>
      <w:i w:val="false"/>
      <w:color w:val="000000"/>
    </w:rPr>
  </w:style>
  <w:style w:type="character" w:styleId="ListLabel24">
    <w:name w:val="ListLabel 24"/>
    <w:qFormat/>
    <w:rPr>
      <w:i w:val="false"/>
      <w:color w:val="000000"/>
    </w:rPr>
  </w:style>
  <w:style w:type="character" w:styleId="ListLabel25">
    <w:name w:val="ListLabel 25"/>
    <w:qFormat/>
    <w:rPr>
      <w:i w:val="false"/>
      <w:color w:val="000000"/>
    </w:rPr>
  </w:style>
  <w:style w:type="character" w:styleId="ListLabel26">
    <w:name w:val="ListLabel 26"/>
    <w:qFormat/>
    <w:rPr>
      <w:b/>
    </w:rPr>
  </w:style>
  <w:style w:type="character" w:styleId="ListLabel27">
    <w:name w:val="ListLabel 27"/>
    <w:qFormat/>
    <w:rPr>
      <w:b w:val="false"/>
      <w:i w:val="false"/>
      <w:iCs/>
    </w:rPr>
  </w:style>
  <w:style w:type="character" w:styleId="ListLabel28">
    <w:name w:val="ListLabel 28"/>
    <w:qFormat/>
    <w:rPr>
      <w:rFonts w:cs="Arial"/>
      <w:b w:val="false"/>
      <w:i w:val="false"/>
      <w:iCs/>
      <w:color w:val="00000A"/>
    </w:rPr>
  </w:style>
  <w:style w:type="character" w:styleId="ListLabel29">
    <w:name w:val="ListLabel 29"/>
    <w:qFormat/>
    <w:rPr>
      <w:b/>
    </w:rPr>
  </w:style>
  <w:style w:type="character" w:styleId="ListLabel30">
    <w:name w:val="ListLabel 30"/>
    <w:qFormat/>
    <w:rPr>
      <w:b w:val="false"/>
      <w:i w:val="false"/>
      <w:iCs/>
    </w:rPr>
  </w:style>
  <w:style w:type="character" w:styleId="ListLabel31">
    <w:name w:val="ListLabel 31"/>
    <w:qFormat/>
    <w:rPr>
      <w:rFonts w:cs="Arial"/>
      <w:b w:val="false"/>
      <w:i w:val="false"/>
      <w:iCs/>
      <w:color w:val="00000A"/>
    </w:rPr>
  </w:style>
  <w:style w:type="character" w:styleId="ListLabel32">
    <w:name w:val="ListLabel 32"/>
    <w:qFormat/>
    <w:rPr>
      <w:b/>
    </w:rPr>
  </w:style>
  <w:style w:type="character" w:styleId="ListLabel33">
    <w:name w:val="ListLabel 33"/>
    <w:qFormat/>
    <w:rPr>
      <w:b w:val="false"/>
      <w:i w:val="false"/>
      <w:iCs/>
    </w:rPr>
  </w:style>
  <w:style w:type="character" w:styleId="ListLabel34">
    <w:name w:val="ListLabel 34"/>
    <w:qFormat/>
    <w:rPr>
      <w:rFonts w:cs="Arial"/>
      <w:b w:val="false"/>
      <w:i w:val="false"/>
      <w:iCs/>
      <w:color w:val="00000A"/>
    </w:rPr>
  </w:style>
  <w:style w:type="character" w:styleId="ListLabel35">
    <w:name w:val="ListLabel 35"/>
    <w:qFormat/>
    <w:rPr>
      <w:b/>
    </w:rPr>
  </w:style>
  <w:style w:type="character" w:styleId="ListLabel36">
    <w:name w:val="ListLabel 36"/>
    <w:qFormat/>
    <w:rPr>
      <w:b w:val="false"/>
      <w:i w:val="false"/>
      <w:iCs/>
    </w:rPr>
  </w:style>
  <w:style w:type="character" w:styleId="ListLabel37">
    <w:name w:val="ListLabel 37"/>
    <w:qFormat/>
    <w:rPr>
      <w:rFonts w:cs="Arial"/>
      <w:b w:val="false"/>
      <w:i w:val="false"/>
      <w:iCs/>
      <w:color w:val="00000A"/>
    </w:rPr>
  </w:style>
  <w:style w:type="character" w:styleId="ListLabel38">
    <w:name w:val="ListLabel 38"/>
    <w:qFormat/>
    <w:rPr>
      <w:b/>
    </w:rPr>
  </w:style>
  <w:style w:type="character" w:styleId="ListLabel39">
    <w:name w:val="ListLabel 39"/>
    <w:qFormat/>
    <w:rPr>
      <w:b w:val="false"/>
      <w:i w:val="false"/>
      <w:iCs/>
    </w:rPr>
  </w:style>
  <w:style w:type="character" w:styleId="ListLabel40">
    <w:name w:val="ListLabel 40"/>
    <w:qFormat/>
    <w:rPr>
      <w:rFonts w:cs="Arial"/>
      <w:b w:val="false"/>
      <w:i w:val="false"/>
      <w:iCs/>
      <w:color w:val="00000A"/>
    </w:rPr>
  </w:style>
  <w:style w:type="character" w:styleId="ListLabel41">
    <w:name w:val="ListLabel 41"/>
    <w:qFormat/>
    <w:rPr>
      <w:b/>
      <w:i w:val="false"/>
      <w:strike w:val="false"/>
      <w:dstrike w:val="false"/>
    </w:rPr>
  </w:style>
  <w:style w:type="character" w:styleId="ListLabel42">
    <w:name w:val="ListLabel 42"/>
    <w:qFormat/>
    <w:rPr>
      <w:b w:val="false"/>
      <w:strike w:val="false"/>
      <w:dstrike w:val="false"/>
    </w:rPr>
  </w:style>
  <w:style w:type="character" w:styleId="ListLabel43">
    <w:name w:val="ListLabel 43"/>
    <w:qFormat/>
    <w:rPr>
      <w:i w:val="false"/>
      <w:strike w:val="false"/>
      <w:dstrike w:val="false"/>
    </w:rPr>
  </w:style>
  <w:style w:type="character" w:styleId="ListLabel44">
    <w:name w:val="ListLabel 44"/>
    <w:qFormat/>
    <w:rPr>
      <w:b w:val="false"/>
    </w:rPr>
  </w:style>
  <w:style w:type="character" w:styleId="ListLabel45">
    <w:name w:val="ListLabel 45"/>
    <w:qFormat/>
    <w:rPr>
      <w:b w:val="false"/>
    </w:rPr>
  </w:style>
  <w:style w:type="character" w:styleId="ListLabel46">
    <w:name w:val="ListLabel 46"/>
    <w:qFormat/>
    <w:rPr>
      <w:b w:val="false"/>
    </w:rPr>
  </w:style>
  <w:style w:type="character" w:styleId="ListLabel47">
    <w:name w:val="ListLabel 47"/>
    <w:qFormat/>
    <w:rPr>
      <w:b w:val="false"/>
    </w:rPr>
  </w:style>
  <w:style w:type="character" w:styleId="ListLabel48">
    <w:name w:val="ListLabel 48"/>
    <w:qFormat/>
    <w:rPr>
      <w:rFonts w:ascii="Arial" w:hAnsi="Arial"/>
      <w:b/>
    </w:rPr>
  </w:style>
  <w:style w:type="character" w:styleId="ListLabel49">
    <w:name w:val="ListLabel 49"/>
    <w:qFormat/>
    <w:rPr>
      <w:rFonts w:ascii="Arial" w:hAnsi="Arial"/>
      <w:b/>
    </w:rPr>
  </w:style>
  <w:style w:type="character" w:styleId="ListLabel50">
    <w:name w:val="ListLabel 50"/>
    <w:qFormat/>
    <w:rPr>
      <w:b/>
    </w:rPr>
  </w:style>
  <w:style w:type="character" w:styleId="ListLabel51">
    <w:name w:val="ListLabel 51"/>
    <w:qFormat/>
    <w:rPr>
      <w:b w:val="false"/>
      <w:i w:val="false"/>
      <w:iCs/>
    </w:rPr>
  </w:style>
  <w:style w:type="character" w:styleId="ListLabel52">
    <w:name w:val="ListLabel 52"/>
    <w:qFormat/>
    <w:rPr>
      <w:rFonts w:cs="Arial"/>
      <w:b w:val="false"/>
      <w:i w:val="false"/>
      <w:iCs/>
      <w:color w:val="00000A"/>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b/>
    </w:rPr>
  </w:style>
  <w:style w:type="character" w:styleId="ListLabel57">
    <w:name w:val="ListLabel 57"/>
    <w:qFormat/>
    <w:rPr>
      <w:b w:val="false"/>
      <w:i w:val="false"/>
      <w:iCs/>
    </w:rPr>
  </w:style>
  <w:style w:type="character" w:styleId="ListLabel58">
    <w:name w:val="ListLabel 58"/>
    <w:qFormat/>
    <w:rPr>
      <w:rFonts w:cs="Arial"/>
      <w:b w:val="false"/>
      <w:i w:val="false"/>
      <w:iCs/>
      <w:color w:val="00000A"/>
    </w:rPr>
  </w:style>
  <w:style w:type="character" w:styleId="ListLabel59">
    <w:name w:val="ListLabel 59"/>
    <w:qFormat/>
    <w:rPr>
      <w:rFonts w:eastAsia="" w:cs="Arial"/>
      <w:b/>
    </w:rPr>
  </w:style>
  <w:style w:type="character" w:styleId="ListLabel60">
    <w:name w:val="ListLabel 60"/>
    <w:qFormat/>
    <w:rPr>
      <w:b w:val="false"/>
      <w:i w:val="false"/>
      <w:iCs/>
    </w:rPr>
  </w:style>
  <w:style w:type="character" w:styleId="ListLabel61">
    <w:name w:val="ListLabel 61"/>
    <w:qFormat/>
    <w:rPr>
      <w:b w:val="false"/>
      <w:i w:val="false"/>
      <w:iCs/>
      <w:color w:val="00000A"/>
    </w:rPr>
  </w:style>
  <w:style w:type="character" w:styleId="ListLabel62">
    <w:name w:val="ListLabel 62"/>
    <w:qFormat/>
    <w:rPr>
      <w:b/>
    </w:rPr>
  </w:style>
  <w:style w:type="character" w:styleId="ListLabel63">
    <w:name w:val="ListLabel 63"/>
    <w:qFormat/>
    <w:rPr>
      <w:b w:val="false"/>
      <w:i w:val="false"/>
      <w:iCs/>
    </w:rPr>
  </w:style>
  <w:style w:type="character" w:styleId="ListLabel64">
    <w:name w:val="ListLabel 64"/>
    <w:qFormat/>
    <w:rPr>
      <w:rFonts w:cs="Arial"/>
      <w:b w:val="false"/>
      <w:i w:val="false"/>
      <w:iCs/>
      <w:color w:val="00000A"/>
    </w:rPr>
  </w:style>
  <w:style w:type="character" w:styleId="ListLabel65">
    <w:name w:val="ListLabel 65"/>
    <w:qFormat/>
    <w:rPr>
      <w:b/>
    </w:rPr>
  </w:style>
  <w:style w:type="character" w:styleId="ListLabel66">
    <w:name w:val="ListLabel 66"/>
    <w:qFormat/>
    <w:rPr>
      <w:b w:val="false"/>
      <w:i w:val="false"/>
      <w:iCs/>
    </w:rPr>
  </w:style>
  <w:style w:type="character" w:styleId="ListLabel67">
    <w:name w:val="ListLabel 67"/>
    <w:qFormat/>
    <w:rPr>
      <w:rFonts w:cs="Arial"/>
      <w:b w:val="false"/>
      <w:i w:val="false"/>
      <w:iCs/>
      <w:color w:val="00000A"/>
    </w:rPr>
  </w:style>
  <w:style w:type="character" w:styleId="ListLabel68">
    <w:name w:val="ListLabel 68"/>
    <w:qFormat/>
    <w:rPr>
      <w:b/>
    </w:rPr>
  </w:style>
  <w:style w:type="character" w:styleId="ListLabel69">
    <w:name w:val="ListLabel 69"/>
    <w:qFormat/>
    <w:rPr>
      <w:b w:val="false"/>
      <w:i w:val="false"/>
      <w:iCs/>
    </w:rPr>
  </w:style>
  <w:style w:type="character" w:styleId="ListLabel70">
    <w:name w:val="ListLabel 70"/>
    <w:qFormat/>
    <w:rPr>
      <w:b w:val="false"/>
      <w:i w:val="false"/>
      <w:iCs/>
      <w:color w:val="00000A"/>
    </w:rPr>
  </w:style>
  <w:style w:type="character" w:styleId="ListLabel71">
    <w:name w:val="ListLabel 71"/>
    <w:qFormat/>
    <w:rPr>
      <w:rFonts w:ascii="Arial" w:hAnsi="Arial"/>
      <w:b/>
    </w:rPr>
  </w:style>
  <w:style w:type="character" w:styleId="ListLabel72">
    <w:name w:val="ListLabel 72"/>
    <w:qFormat/>
    <w:rPr>
      <w:rFonts w:ascii="Arial" w:hAnsi="Arial"/>
      <w:b/>
      <w:i w:val="false"/>
      <w:iCs/>
    </w:rPr>
  </w:style>
  <w:style w:type="character" w:styleId="ListLabel73">
    <w:name w:val="ListLabel 73"/>
    <w:qFormat/>
    <w:rPr>
      <w:rFonts w:ascii="Arial" w:hAnsi="Arial" w:cs="Arial"/>
      <w:b/>
      <w:i w:val="false"/>
      <w:iCs/>
      <w:color w:val="00000A"/>
    </w:rPr>
  </w:style>
  <w:style w:type="character" w:styleId="ListLabel74">
    <w:name w:val="ListLabel 74"/>
    <w:qFormat/>
    <w:rPr>
      <w:rFonts w:ascii="Arial" w:hAnsi="Arial"/>
      <w:b/>
    </w:rPr>
  </w:style>
  <w:style w:type="character" w:styleId="ListLabel75">
    <w:name w:val="ListLabel 75"/>
    <w:qFormat/>
    <w:rPr>
      <w:rFonts w:ascii="Arial" w:hAnsi="Arial"/>
      <w:b/>
    </w:rPr>
  </w:style>
  <w:style w:type="character" w:styleId="ListLabel76">
    <w:name w:val="ListLabel 76"/>
    <w:qFormat/>
    <w:rPr>
      <w:b/>
    </w:rPr>
  </w:style>
  <w:style w:type="character" w:styleId="ListLabel77">
    <w:name w:val="ListLabel 77"/>
    <w:qFormat/>
    <w:rPr>
      <w:b w:val="false"/>
      <w:i w:val="false"/>
      <w:iCs/>
    </w:rPr>
  </w:style>
  <w:style w:type="character" w:styleId="ListLabel78">
    <w:name w:val="ListLabel 78"/>
    <w:qFormat/>
    <w:rPr>
      <w:rFonts w:cs="Arial"/>
      <w:b w:val="false"/>
      <w:i w:val="false"/>
      <w:iCs/>
      <w:color w:val="00000A"/>
    </w:rPr>
  </w:style>
  <w:style w:type="character" w:styleId="ListLabel79">
    <w:name w:val="ListLabel 79"/>
    <w:qFormat/>
    <w:rPr>
      <w:b/>
    </w:rPr>
  </w:style>
  <w:style w:type="character" w:styleId="ListLabel80">
    <w:name w:val="ListLabel 80"/>
    <w:qFormat/>
    <w:rPr>
      <w:b w:val="false"/>
      <w:i w:val="false"/>
      <w:iCs/>
    </w:rPr>
  </w:style>
  <w:style w:type="character" w:styleId="ListLabel81">
    <w:name w:val="ListLabel 81"/>
    <w:qFormat/>
    <w:rPr>
      <w:b w:val="false"/>
      <w:i w:val="false"/>
      <w:iCs/>
      <w:color w:val="00000A"/>
    </w:rPr>
  </w:style>
  <w:style w:type="character" w:styleId="ListLabel82">
    <w:name w:val="ListLabel 82"/>
    <w:qFormat/>
    <w:rPr>
      <w:rFonts w:ascii="Arial" w:hAnsi="Arial"/>
      <w:b/>
    </w:rPr>
  </w:style>
  <w:style w:type="character" w:styleId="ListLabel83">
    <w:name w:val="ListLabel 83"/>
    <w:qFormat/>
    <w:rPr>
      <w:rFonts w:ascii="Arial" w:hAnsi="Arial"/>
      <w:b/>
      <w:i w:val="false"/>
      <w:iCs/>
    </w:rPr>
  </w:style>
  <w:style w:type="character" w:styleId="ListLabel84">
    <w:name w:val="ListLabel 84"/>
    <w:qFormat/>
    <w:rPr>
      <w:rFonts w:cs="Arial"/>
      <w:b/>
      <w:i w:val="false"/>
      <w:iCs/>
      <w:color w:val="00000A"/>
    </w:rPr>
  </w:style>
  <w:style w:type="character" w:styleId="ListLabel85">
    <w:name w:val="ListLabel 85"/>
    <w:qFormat/>
    <w:rPr>
      <w:rFonts w:ascii="Arial" w:hAnsi="Arial"/>
      <w:b/>
    </w:rPr>
  </w:style>
  <w:style w:type="character" w:styleId="ListLabel86">
    <w:name w:val="ListLabel 86"/>
    <w:qFormat/>
    <w:rPr>
      <w:rFonts w:ascii="Arial" w:hAnsi="Arial"/>
      <w:b/>
    </w:rPr>
  </w:style>
  <w:style w:type="character" w:styleId="ListLabel87">
    <w:name w:val="ListLabel 87"/>
    <w:qFormat/>
    <w:rPr>
      <w:b/>
    </w:rPr>
  </w:style>
  <w:style w:type="character" w:styleId="ListLabel88">
    <w:name w:val="ListLabel 88"/>
    <w:qFormat/>
    <w:rPr>
      <w:b w:val="false"/>
      <w:i w:val="false"/>
      <w:iCs/>
    </w:rPr>
  </w:style>
  <w:style w:type="character" w:styleId="ListLabel89">
    <w:name w:val="ListLabel 89"/>
    <w:qFormat/>
    <w:rPr>
      <w:rFonts w:cs="Arial"/>
      <w:b w:val="false"/>
      <w:i w:val="false"/>
      <w:iCs/>
      <w:color w:val="00000A"/>
    </w:rPr>
  </w:style>
  <w:style w:type="character" w:styleId="ListLabel90">
    <w:name w:val="ListLabel 90"/>
    <w:qFormat/>
    <w:rPr>
      <w:b/>
    </w:rPr>
  </w:style>
  <w:style w:type="character" w:styleId="ListLabel91">
    <w:name w:val="ListLabel 91"/>
    <w:qFormat/>
    <w:rPr>
      <w:b w:val="false"/>
      <w:i w:val="false"/>
      <w:iCs/>
    </w:rPr>
  </w:style>
  <w:style w:type="character" w:styleId="ListLabel92">
    <w:name w:val="ListLabel 92"/>
    <w:qFormat/>
    <w:rPr>
      <w:b w:val="false"/>
      <w:i w:val="false"/>
      <w:iCs/>
      <w:color w:val="00000A"/>
    </w:rPr>
  </w:style>
  <w:style w:type="character" w:styleId="ListLabel93">
    <w:name w:val="ListLabel 93"/>
    <w:qFormat/>
    <w:rPr>
      <w:rFonts w:ascii="Arial" w:hAnsi="Arial"/>
      <w:b/>
    </w:rPr>
  </w:style>
  <w:style w:type="character" w:styleId="ListLabel94">
    <w:name w:val="ListLabel 94"/>
    <w:qFormat/>
    <w:rPr>
      <w:rFonts w:ascii="Arial" w:hAnsi="Arial"/>
      <w:b/>
      <w:i w:val="false"/>
      <w:iCs/>
    </w:rPr>
  </w:style>
  <w:style w:type="character" w:styleId="ListLabel95">
    <w:name w:val="ListLabel 95"/>
    <w:qFormat/>
    <w:rPr>
      <w:rFonts w:cs="Arial"/>
      <w:b/>
      <w:i w:val="false"/>
      <w:iCs/>
      <w:color w:val="00000A"/>
    </w:rPr>
  </w:style>
  <w:style w:type="character" w:styleId="ListLabel96">
    <w:name w:val="ListLabel 96"/>
    <w:qFormat/>
    <w:rPr>
      <w:rFonts w:ascii="Arial" w:hAnsi="Arial"/>
      <w:b/>
    </w:rPr>
  </w:style>
  <w:style w:type="character" w:styleId="ListLabel97">
    <w:name w:val="ListLabel 97"/>
    <w:qFormat/>
    <w:rPr>
      <w:rFonts w:ascii="Arial" w:hAnsi="Arial"/>
      <w:b/>
    </w:rPr>
  </w:style>
  <w:style w:type="character" w:styleId="ListLabel98">
    <w:name w:val="ListLabel 98"/>
    <w:qFormat/>
    <w:rPr>
      <w:b/>
    </w:rPr>
  </w:style>
  <w:style w:type="character" w:styleId="ListLabel99">
    <w:name w:val="ListLabel 99"/>
    <w:qFormat/>
    <w:rPr>
      <w:b w:val="false"/>
      <w:i w:val="false"/>
      <w:iCs/>
    </w:rPr>
  </w:style>
  <w:style w:type="character" w:styleId="ListLabel100">
    <w:name w:val="ListLabel 100"/>
    <w:qFormat/>
    <w:rPr>
      <w:rFonts w:cs="Arial"/>
      <w:b w:val="false"/>
      <w:i w:val="false"/>
      <w:iCs/>
      <w:color w:val="00000A"/>
    </w:rPr>
  </w:style>
  <w:style w:type="character" w:styleId="ListLabel101">
    <w:name w:val="ListLabel 101"/>
    <w:qFormat/>
    <w:rPr>
      <w:b/>
    </w:rPr>
  </w:style>
  <w:style w:type="character" w:styleId="ListLabel102">
    <w:name w:val="ListLabel 102"/>
    <w:qFormat/>
    <w:rPr>
      <w:b w:val="false"/>
      <w:i w:val="false"/>
      <w:iCs/>
    </w:rPr>
  </w:style>
  <w:style w:type="character" w:styleId="ListLabel103">
    <w:name w:val="ListLabel 103"/>
    <w:qFormat/>
    <w:rPr>
      <w:b w:val="false"/>
      <w:i w:val="false"/>
      <w:iCs/>
      <w:color w:val="00000A"/>
    </w:rPr>
  </w:style>
  <w:style w:type="character" w:styleId="ListLabel104">
    <w:name w:val="ListLabel 104"/>
    <w:qFormat/>
    <w:rPr>
      <w:rFonts w:ascii="Arial" w:hAnsi="Arial"/>
      <w:b/>
    </w:rPr>
  </w:style>
  <w:style w:type="character" w:styleId="ListLabel105">
    <w:name w:val="ListLabel 105"/>
    <w:qFormat/>
    <w:rPr>
      <w:rFonts w:ascii="Arial" w:hAnsi="Arial"/>
      <w:b/>
      <w:i w:val="false"/>
      <w:iCs/>
    </w:rPr>
  </w:style>
  <w:style w:type="character" w:styleId="ListLabel106">
    <w:name w:val="ListLabel 106"/>
    <w:qFormat/>
    <w:rPr>
      <w:rFonts w:cs="Arial"/>
      <w:b/>
      <w:i w:val="false"/>
      <w:iCs/>
      <w:color w:val="00000A"/>
    </w:rPr>
  </w:style>
  <w:style w:type="character" w:styleId="ListLabel107">
    <w:name w:val="ListLabel 107"/>
    <w:qFormat/>
    <w:rPr>
      <w:rFonts w:ascii="Arial" w:hAnsi="Arial"/>
      <w:b/>
    </w:rPr>
  </w:style>
  <w:style w:type="character" w:styleId="ListLabel108">
    <w:name w:val="ListLabel 108"/>
    <w:qFormat/>
    <w:rPr>
      <w:rFonts w:ascii="Arial" w:hAnsi="Arial"/>
      <w:b/>
    </w:rPr>
  </w:style>
  <w:style w:type="character" w:styleId="ListLabel109">
    <w:name w:val="ListLabel 109"/>
    <w:qFormat/>
    <w:rPr>
      <w:b/>
    </w:rPr>
  </w:style>
  <w:style w:type="character" w:styleId="ListLabel110">
    <w:name w:val="ListLabel 110"/>
    <w:qFormat/>
    <w:rPr>
      <w:b w:val="false"/>
      <w:i w:val="false"/>
      <w:iCs/>
    </w:rPr>
  </w:style>
  <w:style w:type="character" w:styleId="ListLabel111">
    <w:name w:val="ListLabel 111"/>
    <w:qFormat/>
    <w:rPr>
      <w:rFonts w:cs="Arial"/>
      <w:b w:val="false"/>
      <w:i w:val="false"/>
      <w:iCs/>
      <w:color w:val="00000A"/>
    </w:rPr>
  </w:style>
  <w:style w:type="character" w:styleId="ListLabel112">
    <w:name w:val="ListLabel 112"/>
    <w:qFormat/>
    <w:rPr>
      <w:b/>
    </w:rPr>
  </w:style>
  <w:style w:type="character" w:styleId="ListLabel113">
    <w:name w:val="ListLabel 113"/>
    <w:qFormat/>
    <w:rPr>
      <w:b w:val="false"/>
      <w:i w:val="false"/>
      <w:iCs/>
    </w:rPr>
  </w:style>
  <w:style w:type="character" w:styleId="ListLabel114">
    <w:name w:val="ListLabel 114"/>
    <w:qFormat/>
    <w:rPr>
      <w:b w:val="false"/>
      <w:i w:val="false"/>
      <w:iCs/>
      <w:color w:val="00000A"/>
    </w:rPr>
  </w:style>
  <w:style w:type="character" w:styleId="ListLabel115">
    <w:name w:val="ListLabel 115"/>
    <w:qFormat/>
    <w:rPr>
      <w:rFonts w:ascii="Arial" w:hAnsi="Arial"/>
      <w:b/>
    </w:rPr>
  </w:style>
  <w:style w:type="character" w:styleId="ListLabel116">
    <w:name w:val="ListLabel 116"/>
    <w:qFormat/>
    <w:rPr>
      <w:b/>
      <w:i w:val="false"/>
      <w:iCs/>
    </w:rPr>
  </w:style>
  <w:style w:type="character" w:styleId="ListLabel117">
    <w:name w:val="ListLabel 117"/>
    <w:qFormat/>
    <w:rPr>
      <w:rFonts w:cs="Arial"/>
      <w:b/>
      <w:i w:val="false"/>
      <w:iCs/>
      <w:color w:val="00000A"/>
    </w:rPr>
  </w:style>
  <w:style w:type="character" w:styleId="ListLabel118">
    <w:name w:val="ListLabel 118"/>
    <w:qFormat/>
    <w:rPr>
      <w:rFonts w:ascii="Arial" w:hAnsi="Arial"/>
      <w:b/>
    </w:rPr>
  </w:style>
  <w:style w:type="character" w:styleId="ListLabel119">
    <w:name w:val="ListLabel 119"/>
    <w:qFormat/>
    <w:rPr>
      <w:rFonts w:ascii="Arial" w:hAnsi="Arial"/>
      <w:b/>
    </w:rPr>
  </w:style>
  <w:style w:type="character" w:styleId="ListLabel120">
    <w:name w:val="ListLabel 120"/>
    <w:qFormat/>
    <w:rPr>
      <w:b/>
    </w:rPr>
  </w:style>
  <w:style w:type="character" w:styleId="ListLabel121">
    <w:name w:val="ListLabel 121"/>
    <w:qFormat/>
    <w:rPr>
      <w:b w:val="false"/>
      <w:i w:val="false"/>
      <w:iCs/>
    </w:rPr>
  </w:style>
  <w:style w:type="character" w:styleId="ListLabel122">
    <w:name w:val="ListLabel 122"/>
    <w:qFormat/>
    <w:rPr>
      <w:rFonts w:cs="Arial"/>
      <w:b w:val="false"/>
      <w:i w:val="false"/>
      <w:iCs/>
      <w:color w:val="00000A"/>
    </w:rPr>
  </w:style>
  <w:style w:type="character" w:styleId="ListLabel123">
    <w:name w:val="ListLabel 123"/>
    <w:qFormat/>
    <w:rPr>
      <w:b/>
    </w:rPr>
  </w:style>
  <w:style w:type="character" w:styleId="ListLabel124">
    <w:name w:val="ListLabel 124"/>
    <w:qFormat/>
    <w:rPr>
      <w:b w:val="false"/>
      <w:i w:val="false"/>
      <w:iCs/>
    </w:rPr>
  </w:style>
  <w:style w:type="character" w:styleId="ListLabel125">
    <w:name w:val="ListLabel 125"/>
    <w:qFormat/>
    <w:rPr>
      <w:b w:val="false"/>
      <w:i w:val="false"/>
      <w:iCs/>
      <w:color w:val="00000A"/>
    </w:rPr>
  </w:style>
  <w:style w:type="paragraph" w:styleId="Ttulo">
    <w:name w:val="Título"/>
    <w:basedOn w:val="Normal"/>
    <w:next w:val="Corpodetexto"/>
    <w:qFormat/>
    <w:pPr>
      <w:keepNext/>
      <w:spacing w:before="240" w:after="120"/>
    </w:pPr>
    <w:rPr>
      <w:rFonts w:ascii="Liberation Sans" w:hAnsi="Liberation Sans" w:eastAsia="Microsoft YaHei" w:cs="Arial"/>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00000A"/>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link w:val="citao2Char"/>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bidi w:val="0"/>
      <w:spacing w:lineRule="auto" w:line="276" w:before="120" w:after="120"/>
      <w:jc w:val="both"/>
    </w:pPr>
    <w:rPr>
      <w:rFonts w:ascii="Ecofont_Spranq_eco_Sans" w:hAnsi="Ecofont_Spranq_eco_Sans" w:eastAsia="Arial Unicode MS" w:cs="Times New Roman"/>
      <w:color w:val="00000A"/>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
    <w:name w:val="Header"/>
    <w:basedOn w:val="Normal"/>
    <w:link w:val="CabealhoChar"/>
    <w:uiPriority w:val="99"/>
    <w:unhideWhenUsed/>
    <w:rsid w:val="00805244"/>
    <w:pPr>
      <w:tabs>
        <w:tab w:val="center" w:pos="4252" w:leader="none"/>
        <w:tab w:val="right" w:pos="8504" w:leader="none"/>
      </w:tabs>
    </w:pPr>
    <w:rPr/>
  </w:style>
  <w:style w:type="paragraph" w:styleId="Rodap">
    <w:name w:val="Footer"/>
    <w:basedOn w:val="Normal"/>
    <w:link w:val="RodapChar"/>
    <w:uiPriority w:val="99"/>
    <w:unhideWhenUsed/>
    <w:rsid w:val="00805244"/>
    <w:pPr>
      <w:tabs>
        <w:tab w:val="center" w:pos="4252" w:leader="none"/>
        <w:tab w:val="right" w:pos="8504" w:leader="none"/>
      </w:tabs>
    </w:pPr>
    <w:rPr/>
  </w:style>
  <w:style w:type="paragraph" w:styleId="LONormal">
    <w:name w:val="LO-Normal"/>
    <w:qFormat/>
    <w:pPr>
      <w:widowControl w:val="false"/>
      <w:suppressAutoHyphens w:val="true"/>
      <w:bidi w:val="0"/>
      <w:jc w:val="left"/>
    </w:pPr>
    <w:rPr>
      <w:rFonts w:ascii="Calibri" w:hAnsi="Calibri" w:eastAsia="Calibri" w:cs="" w:asciiTheme="minorHAnsi" w:cstheme="minorBidi" w:eastAsiaTheme="minorHAnsi" w:hAnsiTheme="minorHAnsi"/>
      <w:color w:val="00000A"/>
      <w:sz w:val="20"/>
      <w:szCs w:val="22"/>
      <w:lang w:val="pt-BR" w:eastAsia="en-US" w:bidi="ar-SA"/>
    </w:rPr>
  </w:style>
  <w:style w:type="paragraph" w:styleId="NormalWeb">
    <w:name w:val="Normal (Web)"/>
    <w:basedOn w:val="LONormal"/>
    <w:qFormat/>
    <w:pPr>
      <w:widowControl/>
      <w:suppressAutoHyphens w:val="false"/>
      <w:spacing w:lineRule="auto" w:line="288" w:before="100" w:after="142"/>
      <w:textAlignment w:val="auto"/>
    </w:pPr>
    <w:rPr>
      <w:rFonts w:ascii="Times New Roman" w:hAnsi="Times New Roman" w:eastAsia="Times New Roman" w:cs="Times New Roman"/>
      <w:lang w:eastAsia="pt-BR" w:bidi="ar-SA"/>
    </w:rPr>
  </w:style>
  <w:style w:type="paragraph" w:styleId="Standard">
    <w:name w:val="Standard"/>
    <w:qFormat/>
    <w:pPr>
      <w:widowControl/>
      <w:suppressAutoHyphens w:val="true"/>
      <w:bidi w:val="0"/>
      <w:jc w:val="left"/>
    </w:pPr>
    <w:rPr>
      <w:rFonts w:ascii="Times New Roman" w:hAnsi="Times New Roman" w:eastAsia="Times New Roman" w:cs="Times New Roman"/>
      <w:color w:val="00000A"/>
      <w:sz w:val="20"/>
      <w:szCs w:val="20"/>
      <w:lang w:val="pt-BR" w:eastAsia="en-US" w:bidi="ar-SA"/>
    </w:rPr>
  </w:style>
  <w:style w:type="paragraph" w:styleId="Contedodatabela">
    <w:name w:val="Conteúdo da tabela"/>
    <w:basedOn w:val="Standard"/>
    <w:qFormat/>
    <w:pPr>
      <w:suppressLineNumbers/>
      <w:suppressAutoHyphens w:val="true"/>
    </w:pP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Application>LibreOffice/5.3.3.2$Windows_x86 LibreOffice_project/3d9a8b4b4e538a85e0782bd6c2d430bafe583448</Application>
  <Pages>14</Pages>
  <Words>5254</Words>
  <Characters>30346</Characters>
  <CharactersWithSpaces>35211</CharactersWithSpaces>
  <Paragraphs>246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2021-08-05T16:35:00Z</dcterms:created>
  <dc:creator>Hugo Sales</dc:creator>
  <dc:description/>
  <dc:language>pt-BR</dc:language>
  <cp:lastModifiedBy/>
  <dcterms:modified xsi:type="dcterms:W3CDTF">2023-04-17T09:22:22Z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